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535279">
      <w:pPr>
        <w:pStyle w:val="5"/>
        <w:spacing w:line="360" w:lineRule="auto"/>
        <w:ind w:firstLine="0" w:firstLineChars="0"/>
        <w:jc w:val="center"/>
        <w:rPr>
          <w:rFonts w:cs="Times New Roman" w:asciiTheme="minorEastAsia" w:hAnsiTheme="minorEastAsia"/>
          <w:b/>
          <w:sz w:val="48"/>
          <w:szCs w:val="48"/>
        </w:rPr>
      </w:pPr>
      <w:r>
        <w:rPr>
          <w:rFonts w:cs="Times New Roman" w:asciiTheme="minorEastAsia" w:hAnsiTheme="minorEastAsia"/>
          <w:b/>
          <w:sz w:val="48"/>
          <w:szCs w:val="48"/>
        </w:rPr>
        <w:t>道路</w:t>
      </w:r>
      <w:r>
        <w:rPr>
          <w:rFonts w:hint="eastAsia" w:cs="Times New Roman" w:asciiTheme="minorEastAsia" w:hAnsiTheme="minorEastAsia"/>
          <w:b/>
          <w:sz w:val="48"/>
          <w:szCs w:val="48"/>
          <w:lang w:eastAsia="zh-CN"/>
        </w:rPr>
        <w:t>交通</w:t>
      </w:r>
      <w:r>
        <w:rPr>
          <w:rFonts w:cs="Times New Roman" w:asciiTheme="minorEastAsia" w:hAnsiTheme="minorEastAsia"/>
          <w:b/>
          <w:sz w:val="48"/>
          <w:szCs w:val="48"/>
        </w:rPr>
        <w:t>设计说明</w:t>
      </w:r>
    </w:p>
    <w:p w14:paraId="76FC914E">
      <w:pPr>
        <w:pStyle w:val="4"/>
        <w:spacing w:beforeLines="0" w:afterLines="0"/>
        <w:rPr>
          <w:rFonts w:asciiTheme="minorEastAsia" w:hAnsiTheme="minorEastAsia" w:eastAsiaTheme="minorEastAsia"/>
          <w:color w:val="auto"/>
        </w:rPr>
        <w:sectPr>
          <w:headerReference r:id="rId3" w:type="default"/>
          <w:pgSz w:w="31680" w:h="22394" w:orient="landscape"/>
          <w:pgMar w:top="1417" w:right="1134" w:bottom="1701" w:left="2835" w:header="851" w:footer="992" w:gutter="0"/>
          <w:pgBorders>
            <w:top w:val="none" w:sz="0" w:space="0"/>
            <w:left w:val="none" w:sz="0" w:space="0"/>
            <w:bottom w:val="none" w:sz="0" w:space="0"/>
            <w:right w:val="none" w:sz="0" w:space="0"/>
          </w:pgBorders>
          <w:pgNumType w:start="1"/>
          <w:cols w:space="720" w:num="1"/>
          <w:rtlGutter w:val="0"/>
          <w:docGrid w:type="lines" w:linePitch="314" w:charSpace="0"/>
        </w:sectPr>
      </w:pPr>
    </w:p>
    <w:p w14:paraId="555179A8">
      <w:pPr>
        <w:pStyle w:val="4"/>
        <w:spacing w:beforeLines="0" w:afterLines="0"/>
        <w:rPr>
          <w:rFonts w:asciiTheme="minorEastAsia" w:hAnsiTheme="minorEastAsia" w:eastAsiaTheme="minorEastAsia"/>
          <w:color w:val="auto"/>
        </w:rPr>
      </w:pPr>
      <w:bookmarkStart w:id="0" w:name="_Toc134264238"/>
      <w:bookmarkStart w:id="1" w:name="_Toc134264478"/>
      <w:r>
        <w:rPr>
          <w:rFonts w:asciiTheme="minorEastAsia" w:hAnsiTheme="minorEastAsia" w:eastAsiaTheme="minorEastAsia"/>
          <w:color w:val="auto"/>
        </w:rPr>
        <w:t xml:space="preserve">1 </w:t>
      </w:r>
      <w:r>
        <w:rPr>
          <w:rFonts w:hint="eastAsia" w:asciiTheme="minorEastAsia" w:hAnsiTheme="minorEastAsia" w:eastAsiaTheme="minorEastAsia"/>
          <w:color w:val="auto"/>
        </w:rPr>
        <w:t>设计</w:t>
      </w:r>
      <w:r>
        <w:rPr>
          <w:rFonts w:asciiTheme="minorEastAsia" w:hAnsiTheme="minorEastAsia" w:eastAsiaTheme="minorEastAsia"/>
          <w:color w:val="auto"/>
        </w:rPr>
        <w:t>依据</w:t>
      </w:r>
      <w:bookmarkEnd w:id="0"/>
      <w:bookmarkEnd w:id="1"/>
    </w:p>
    <w:p w14:paraId="15CB4B99">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rPr>
        <w:t>1、</w:t>
      </w:r>
      <w:r>
        <w:rPr>
          <w:rFonts w:asciiTheme="minorEastAsia" w:hAnsiTheme="minorEastAsia"/>
          <w:kern w:val="0"/>
          <w:sz w:val="24"/>
        </w:rPr>
        <w:t>《城市道路工程设计规范</w:t>
      </w:r>
      <w:r>
        <w:rPr>
          <w:rFonts w:hint="eastAsia" w:asciiTheme="minorEastAsia" w:hAnsiTheme="minorEastAsia"/>
          <w:kern w:val="0"/>
          <w:sz w:val="24"/>
        </w:rPr>
        <w:t>（2016年版）</w:t>
      </w:r>
      <w:r>
        <w:rPr>
          <w:rFonts w:asciiTheme="minorEastAsia" w:hAnsiTheme="minorEastAsia"/>
          <w:kern w:val="0"/>
          <w:sz w:val="24"/>
        </w:rPr>
        <w:t>》（CJJ 37-2012）；</w:t>
      </w:r>
    </w:p>
    <w:p w14:paraId="4D506311">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rPr>
        <w:t>2、</w:t>
      </w:r>
      <w:r>
        <w:rPr>
          <w:rFonts w:asciiTheme="minorEastAsia" w:hAnsiTheme="minorEastAsia"/>
          <w:kern w:val="0"/>
          <w:sz w:val="24"/>
        </w:rPr>
        <w:t>《城市道路路线设计规范》（CJJ193-2012）；</w:t>
      </w:r>
    </w:p>
    <w:p w14:paraId="185AA280">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rPr>
        <w:t>3、</w:t>
      </w:r>
      <w:r>
        <w:rPr>
          <w:rFonts w:asciiTheme="minorEastAsia" w:hAnsiTheme="minorEastAsia"/>
          <w:kern w:val="0"/>
          <w:sz w:val="24"/>
        </w:rPr>
        <w:t>《城市道路路基设计规范》（CJJ194-2013）；</w:t>
      </w:r>
    </w:p>
    <w:p w14:paraId="72EBDB39">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rPr>
        <w:t>4、</w:t>
      </w:r>
      <w:r>
        <w:rPr>
          <w:rFonts w:asciiTheme="minorEastAsia" w:hAnsiTheme="minorEastAsia"/>
          <w:kern w:val="0"/>
          <w:sz w:val="24"/>
        </w:rPr>
        <w:t>《城镇道路路面设计规范》（CJJ169-2012）；</w:t>
      </w:r>
    </w:p>
    <w:p w14:paraId="0B36AD95">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rPr>
        <w:t>5、</w:t>
      </w:r>
      <w:r>
        <w:rPr>
          <w:rFonts w:asciiTheme="minorEastAsia" w:hAnsiTheme="minorEastAsia"/>
          <w:kern w:val="0"/>
          <w:sz w:val="24"/>
        </w:rPr>
        <w:t>《</w:t>
      </w:r>
      <w:r>
        <w:rPr>
          <w:rFonts w:hint="eastAsia" w:asciiTheme="minorEastAsia" w:hAnsiTheme="minorEastAsia"/>
          <w:kern w:val="0"/>
          <w:sz w:val="24"/>
        </w:rPr>
        <w:t>城市道路交叉口设计规程</w:t>
      </w:r>
      <w:r>
        <w:rPr>
          <w:rFonts w:asciiTheme="minorEastAsia" w:hAnsiTheme="minorEastAsia"/>
          <w:kern w:val="0"/>
          <w:sz w:val="24"/>
        </w:rPr>
        <w:t>》（</w:t>
      </w:r>
      <w:r>
        <w:rPr>
          <w:rFonts w:hint="eastAsia" w:asciiTheme="minorEastAsia" w:hAnsiTheme="minorEastAsia"/>
          <w:kern w:val="0"/>
          <w:sz w:val="24"/>
        </w:rPr>
        <w:t>CJJ152-2010</w:t>
      </w:r>
      <w:r>
        <w:rPr>
          <w:rFonts w:asciiTheme="minorEastAsia" w:hAnsiTheme="minorEastAsia"/>
          <w:kern w:val="0"/>
          <w:sz w:val="24"/>
        </w:rPr>
        <w:t>）；</w:t>
      </w:r>
    </w:p>
    <w:p w14:paraId="5ABE6D91">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6</w:t>
      </w:r>
      <w:r>
        <w:rPr>
          <w:rFonts w:hint="eastAsia" w:asciiTheme="minorEastAsia" w:hAnsiTheme="minorEastAsia"/>
          <w:kern w:val="0"/>
          <w:sz w:val="24"/>
        </w:rPr>
        <w:t>、《中国地震动参数区划图》（GB18306-2015）</w:t>
      </w:r>
    </w:p>
    <w:p w14:paraId="78ECFE5A">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7</w:t>
      </w:r>
      <w:r>
        <w:rPr>
          <w:rFonts w:hint="eastAsia" w:asciiTheme="minorEastAsia" w:hAnsiTheme="minorEastAsia"/>
          <w:kern w:val="0"/>
          <w:sz w:val="24"/>
        </w:rPr>
        <w:t>、</w:t>
      </w:r>
      <w:r>
        <w:rPr>
          <w:rFonts w:asciiTheme="minorEastAsia" w:hAnsiTheme="minorEastAsia"/>
          <w:kern w:val="0"/>
          <w:sz w:val="24"/>
        </w:rPr>
        <w:t xml:space="preserve">《公路工程抗震设计规范》（JTJ B02-2013）； </w:t>
      </w:r>
    </w:p>
    <w:p w14:paraId="660685D0">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8</w:t>
      </w:r>
      <w:r>
        <w:rPr>
          <w:rFonts w:hint="eastAsia" w:asciiTheme="minorEastAsia" w:hAnsiTheme="minorEastAsia"/>
          <w:kern w:val="0"/>
          <w:sz w:val="24"/>
        </w:rPr>
        <w:t>、《公路工程技术标准》（JTG B01-2014）；</w:t>
      </w:r>
    </w:p>
    <w:p w14:paraId="6964E462">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9</w:t>
      </w:r>
      <w:r>
        <w:rPr>
          <w:rFonts w:hint="eastAsia" w:asciiTheme="minorEastAsia" w:hAnsiTheme="minorEastAsia"/>
          <w:kern w:val="0"/>
          <w:sz w:val="24"/>
        </w:rPr>
        <w:t>、</w:t>
      </w:r>
      <w:r>
        <w:rPr>
          <w:rFonts w:asciiTheme="minorEastAsia" w:hAnsiTheme="minorEastAsia"/>
          <w:kern w:val="0"/>
          <w:sz w:val="24"/>
        </w:rPr>
        <w:t>《道路交通标志和标线》（GB 5768-2009）；</w:t>
      </w:r>
    </w:p>
    <w:p w14:paraId="6EEAECF8">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10</w:t>
      </w:r>
      <w:r>
        <w:rPr>
          <w:rFonts w:hint="eastAsia" w:asciiTheme="minorEastAsia" w:hAnsiTheme="minorEastAsia"/>
          <w:kern w:val="0"/>
          <w:sz w:val="24"/>
        </w:rPr>
        <w:t>、</w:t>
      </w:r>
      <w:r>
        <w:rPr>
          <w:rFonts w:asciiTheme="minorEastAsia" w:hAnsiTheme="minorEastAsia"/>
          <w:kern w:val="0"/>
          <w:sz w:val="24"/>
        </w:rPr>
        <w:t>《</w:t>
      </w:r>
      <w:r>
        <w:rPr>
          <w:rFonts w:hint="eastAsia" w:asciiTheme="minorEastAsia" w:hAnsiTheme="minorEastAsia"/>
          <w:kern w:val="0"/>
          <w:sz w:val="24"/>
        </w:rPr>
        <w:t>城市道路交通标志和标线设置规范</w:t>
      </w:r>
      <w:r>
        <w:rPr>
          <w:rFonts w:asciiTheme="minorEastAsia" w:hAnsiTheme="minorEastAsia"/>
          <w:kern w:val="0"/>
          <w:sz w:val="24"/>
        </w:rPr>
        <w:t>》（</w:t>
      </w:r>
      <w:r>
        <w:rPr>
          <w:rFonts w:hint="eastAsia" w:asciiTheme="minorEastAsia" w:hAnsiTheme="minorEastAsia"/>
          <w:kern w:val="0"/>
          <w:sz w:val="24"/>
        </w:rPr>
        <w:t>GB 51038-2015</w:t>
      </w:r>
      <w:r>
        <w:rPr>
          <w:rFonts w:asciiTheme="minorEastAsia" w:hAnsiTheme="minorEastAsia"/>
          <w:kern w:val="0"/>
          <w:sz w:val="24"/>
        </w:rPr>
        <w:t>）；</w:t>
      </w:r>
    </w:p>
    <w:p w14:paraId="0FFB60BB">
      <w:pPr>
        <w:widowControl/>
        <w:spacing w:line="360" w:lineRule="auto"/>
        <w:ind w:firstLine="480" w:firstLineChars="200"/>
        <w:rPr>
          <w:rFonts w:asciiTheme="minorEastAsia" w:hAnsiTheme="minorEastAsia"/>
          <w:kern w:val="0"/>
          <w:sz w:val="24"/>
        </w:rPr>
      </w:pPr>
      <w:r>
        <w:rPr>
          <w:rFonts w:asciiTheme="minorEastAsia" w:hAnsiTheme="minorEastAsia"/>
          <w:kern w:val="0"/>
          <w:sz w:val="24"/>
        </w:rPr>
        <w:t>1</w:t>
      </w:r>
      <w:r>
        <w:rPr>
          <w:rFonts w:hint="eastAsia" w:asciiTheme="minorEastAsia" w:hAnsiTheme="minorEastAsia"/>
          <w:kern w:val="0"/>
          <w:sz w:val="24"/>
          <w:lang w:val="en-US" w:eastAsia="zh-CN"/>
        </w:rPr>
        <w:t>1</w:t>
      </w:r>
      <w:r>
        <w:rPr>
          <w:rFonts w:hint="eastAsia" w:asciiTheme="minorEastAsia" w:hAnsiTheme="minorEastAsia"/>
          <w:kern w:val="0"/>
          <w:sz w:val="24"/>
        </w:rPr>
        <w:t>、</w:t>
      </w:r>
      <w:r>
        <w:rPr>
          <w:rFonts w:hint="eastAsia" w:asciiTheme="minorEastAsia" w:hAnsiTheme="minorEastAsia"/>
          <w:kern w:val="0"/>
          <w:sz w:val="24"/>
          <w:lang w:eastAsia="zh-CN"/>
        </w:rPr>
        <w:t>《</w:t>
      </w:r>
      <w:r>
        <w:rPr>
          <w:rFonts w:asciiTheme="minorEastAsia" w:hAnsiTheme="minorEastAsia"/>
          <w:kern w:val="0"/>
          <w:sz w:val="24"/>
        </w:rPr>
        <w:t>城市道路交通设施设计规范(2019年版)</w:t>
      </w:r>
      <w:r>
        <w:rPr>
          <w:rFonts w:hint="eastAsia" w:asciiTheme="minorEastAsia" w:hAnsiTheme="minorEastAsia"/>
          <w:kern w:val="0"/>
          <w:sz w:val="24"/>
          <w:lang w:eastAsia="zh-CN"/>
        </w:rPr>
        <w:t>》</w:t>
      </w:r>
      <w:r>
        <w:rPr>
          <w:rFonts w:hint="eastAsia" w:asciiTheme="minorEastAsia" w:hAnsiTheme="minorEastAsia"/>
          <w:kern w:val="0"/>
          <w:sz w:val="24"/>
        </w:rPr>
        <w:t>（</w:t>
      </w:r>
      <w:r>
        <w:rPr>
          <w:rFonts w:asciiTheme="minorEastAsia" w:hAnsiTheme="minorEastAsia"/>
          <w:kern w:val="0"/>
          <w:sz w:val="24"/>
        </w:rPr>
        <w:t>GB 50688-2011</w:t>
      </w:r>
      <w:r>
        <w:rPr>
          <w:rFonts w:hint="eastAsia" w:asciiTheme="minorEastAsia" w:hAnsiTheme="minorEastAsia"/>
          <w:kern w:val="0"/>
          <w:sz w:val="24"/>
        </w:rPr>
        <w:t>）</w:t>
      </w:r>
    </w:p>
    <w:p w14:paraId="453484DE">
      <w:pPr>
        <w:widowControl/>
        <w:spacing w:line="360" w:lineRule="auto"/>
        <w:ind w:firstLine="480" w:firstLineChars="200"/>
        <w:rPr>
          <w:rFonts w:asciiTheme="minorEastAsia" w:hAnsiTheme="minorEastAsia"/>
          <w:kern w:val="0"/>
          <w:sz w:val="24"/>
        </w:rPr>
      </w:pPr>
      <w:r>
        <w:rPr>
          <w:rFonts w:asciiTheme="minorEastAsia" w:hAnsiTheme="minorEastAsia"/>
          <w:kern w:val="0"/>
          <w:sz w:val="24"/>
        </w:rPr>
        <w:t>1</w:t>
      </w:r>
      <w:r>
        <w:rPr>
          <w:rFonts w:hint="eastAsia" w:asciiTheme="minorEastAsia" w:hAnsiTheme="minorEastAsia"/>
          <w:kern w:val="0"/>
          <w:sz w:val="24"/>
          <w:lang w:val="en-US" w:eastAsia="zh-CN"/>
        </w:rPr>
        <w:t>2</w:t>
      </w:r>
      <w:r>
        <w:rPr>
          <w:rFonts w:hint="eastAsia" w:asciiTheme="minorEastAsia" w:hAnsiTheme="minorEastAsia"/>
          <w:kern w:val="0"/>
          <w:sz w:val="24"/>
        </w:rPr>
        <w:t>、</w:t>
      </w:r>
      <w:r>
        <w:rPr>
          <w:rFonts w:asciiTheme="minorEastAsia" w:hAnsiTheme="minorEastAsia"/>
          <w:kern w:val="0"/>
          <w:sz w:val="24"/>
        </w:rPr>
        <w:t>《城镇道路工程施工与质量验收规范》（CJJ1-2008）；</w:t>
      </w:r>
    </w:p>
    <w:p w14:paraId="2C0F2A39">
      <w:pPr>
        <w:widowControl/>
        <w:spacing w:line="360" w:lineRule="auto"/>
        <w:ind w:firstLine="480" w:firstLineChars="200"/>
        <w:rPr>
          <w:rFonts w:asciiTheme="minorEastAsia" w:hAnsiTheme="minorEastAsia"/>
          <w:kern w:val="0"/>
          <w:sz w:val="24"/>
        </w:rPr>
      </w:pPr>
      <w:r>
        <w:rPr>
          <w:rFonts w:hint="eastAsia" w:asciiTheme="minorEastAsia" w:hAnsiTheme="minorEastAsia"/>
          <w:color w:val="000000"/>
          <w:kern w:val="0"/>
          <w:sz w:val="24"/>
        </w:rPr>
        <w:t>1</w:t>
      </w:r>
      <w:r>
        <w:rPr>
          <w:rFonts w:hint="eastAsia" w:asciiTheme="minorEastAsia" w:hAnsiTheme="minorEastAsia"/>
          <w:color w:val="000000"/>
          <w:kern w:val="0"/>
          <w:sz w:val="24"/>
          <w:lang w:val="en-US" w:eastAsia="zh-CN"/>
        </w:rPr>
        <w:t>3</w:t>
      </w:r>
      <w:r>
        <w:rPr>
          <w:rFonts w:hint="eastAsia" w:asciiTheme="minorEastAsia" w:hAnsiTheme="minorEastAsia"/>
          <w:color w:val="000000"/>
          <w:kern w:val="0"/>
          <w:sz w:val="24"/>
        </w:rPr>
        <w:t>、《城</w:t>
      </w:r>
      <w:r>
        <w:rPr>
          <w:rFonts w:hint="eastAsia" w:asciiTheme="minorEastAsia" w:hAnsiTheme="minorEastAsia"/>
          <w:kern w:val="0"/>
          <w:sz w:val="24"/>
        </w:rPr>
        <w:t>镇道路养护技术规范》（</w:t>
      </w:r>
      <w:r>
        <w:rPr>
          <w:rFonts w:asciiTheme="minorEastAsia" w:hAnsiTheme="minorEastAsia"/>
          <w:kern w:val="0"/>
          <w:sz w:val="24"/>
        </w:rPr>
        <w:t>CJJ36-201</w:t>
      </w:r>
      <w:r>
        <w:rPr>
          <w:rFonts w:hint="eastAsia" w:asciiTheme="minorEastAsia" w:hAnsiTheme="minorEastAsia"/>
          <w:kern w:val="0"/>
          <w:sz w:val="24"/>
        </w:rPr>
        <w:t>7）；</w:t>
      </w:r>
    </w:p>
    <w:p w14:paraId="2E0BF6C9">
      <w:pPr>
        <w:widowControl/>
        <w:spacing w:line="360" w:lineRule="auto"/>
        <w:ind w:firstLine="480" w:firstLineChars="200"/>
        <w:rPr>
          <w:rFonts w:hint="eastAsia" w:asciiTheme="minorEastAsia" w:hAnsiTheme="minorEastAsia"/>
          <w:kern w:val="0"/>
          <w:sz w:val="24"/>
        </w:rPr>
      </w:pPr>
      <w:r>
        <w:rPr>
          <w:rFonts w:hint="eastAsia" w:asciiTheme="minorEastAsia" w:hAnsiTheme="minorEastAsia"/>
          <w:kern w:val="0"/>
          <w:sz w:val="24"/>
        </w:rPr>
        <w:t>1</w:t>
      </w:r>
      <w:r>
        <w:rPr>
          <w:rFonts w:hint="eastAsia" w:asciiTheme="minorEastAsia" w:hAnsiTheme="minorEastAsia"/>
          <w:kern w:val="0"/>
          <w:sz w:val="24"/>
          <w:lang w:val="en-US" w:eastAsia="zh-CN"/>
        </w:rPr>
        <w:t>4</w:t>
      </w:r>
      <w:r>
        <w:rPr>
          <w:rFonts w:hint="eastAsia" w:asciiTheme="minorEastAsia" w:hAnsiTheme="minorEastAsia"/>
          <w:kern w:val="0"/>
          <w:sz w:val="24"/>
        </w:rPr>
        <w:t>、</w:t>
      </w:r>
      <w:r>
        <w:rPr>
          <w:rFonts w:hint="eastAsia" w:ascii="宋体" w:hAnsi="宋体"/>
          <w:color w:val="000000"/>
          <w:sz w:val="24"/>
        </w:rPr>
        <w:t>《乡村道路工程技术规范》</w:t>
      </w:r>
      <w:r>
        <w:rPr>
          <w:rFonts w:hint="eastAsia" w:ascii="宋体" w:hAnsi="宋体"/>
          <w:color w:val="000000"/>
          <w:sz w:val="24"/>
          <w:lang w:eastAsia="zh-CN"/>
        </w:rPr>
        <w:t>（</w:t>
      </w:r>
      <w:r>
        <w:rPr>
          <w:rFonts w:hint="eastAsia" w:ascii="宋体" w:hAnsi="宋体"/>
          <w:color w:val="000000"/>
          <w:sz w:val="24"/>
        </w:rPr>
        <w:t>GB</w:t>
      </w:r>
      <w:r>
        <w:rPr>
          <w:rFonts w:ascii="宋体" w:hAnsi="宋体"/>
          <w:color w:val="000000"/>
          <w:sz w:val="24"/>
        </w:rPr>
        <w:t>/T 51224</w:t>
      </w:r>
      <w:r>
        <w:rPr>
          <w:rFonts w:hint="eastAsia" w:ascii="宋体" w:hAnsi="宋体"/>
          <w:color w:val="000000"/>
          <w:sz w:val="24"/>
        </w:rPr>
        <w:t>-</w:t>
      </w:r>
      <w:r>
        <w:rPr>
          <w:rFonts w:ascii="宋体" w:hAnsi="宋体"/>
          <w:color w:val="000000"/>
          <w:sz w:val="24"/>
        </w:rPr>
        <w:t>2017</w:t>
      </w:r>
      <w:r>
        <w:rPr>
          <w:rFonts w:hint="eastAsia" w:ascii="宋体" w:hAnsi="宋体"/>
          <w:color w:val="000000"/>
          <w:sz w:val="24"/>
          <w:lang w:eastAsia="zh-CN"/>
        </w:rPr>
        <w:t>）</w:t>
      </w:r>
      <w:r>
        <w:rPr>
          <w:rFonts w:hint="eastAsia" w:asciiTheme="minorEastAsia" w:hAnsiTheme="minorEastAsia"/>
          <w:kern w:val="0"/>
          <w:sz w:val="24"/>
          <w:lang w:eastAsia="zh-CN"/>
        </w:rPr>
        <w:t>；</w:t>
      </w:r>
    </w:p>
    <w:p w14:paraId="289E07F5">
      <w:pPr>
        <w:widowControl/>
        <w:spacing w:line="360" w:lineRule="auto"/>
        <w:ind w:firstLine="480" w:firstLineChars="200"/>
        <w:rPr>
          <w:rFonts w:hint="eastAsia" w:asciiTheme="minorEastAsia" w:hAnsiTheme="minorEastAsia"/>
          <w:kern w:val="0"/>
          <w:sz w:val="24"/>
          <w:lang w:eastAsia="zh-CN"/>
        </w:rPr>
      </w:pPr>
      <w:r>
        <w:rPr>
          <w:rFonts w:hint="eastAsia" w:asciiTheme="minorEastAsia" w:hAnsiTheme="minorEastAsia"/>
          <w:kern w:val="0"/>
          <w:sz w:val="24"/>
          <w:lang w:val="en-US" w:eastAsia="zh-CN"/>
        </w:rPr>
        <w:t>15、</w:t>
      </w:r>
      <w:r>
        <w:rPr>
          <w:rFonts w:hint="eastAsia" w:asciiTheme="minorEastAsia" w:hAnsiTheme="minorEastAsia"/>
          <w:kern w:val="0"/>
          <w:sz w:val="24"/>
          <w:lang w:eastAsia="zh-CN"/>
        </w:rPr>
        <w:t>《</w:t>
      </w:r>
      <w:r>
        <w:rPr>
          <w:rFonts w:hint="eastAsia" w:asciiTheme="minorEastAsia" w:hAnsiTheme="minorEastAsia"/>
          <w:kern w:val="0"/>
          <w:sz w:val="24"/>
        </w:rPr>
        <w:t>民用建筑通用规范</w:t>
      </w:r>
      <w:r>
        <w:rPr>
          <w:rFonts w:hint="eastAsia" w:asciiTheme="minorEastAsia" w:hAnsiTheme="minorEastAsia"/>
          <w:kern w:val="0"/>
          <w:sz w:val="24"/>
          <w:lang w:eastAsia="zh-CN"/>
        </w:rPr>
        <w:t>》（</w:t>
      </w:r>
      <w:r>
        <w:rPr>
          <w:rFonts w:hint="eastAsia" w:asciiTheme="minorEastAsia" w:hAnsiTheme="minorEastAsia"/>
          <w:kern w:val="0"/>
          <w:sz w:val="24"/>
        </w:rPr>
        <w:t>GB55031-2022</w:t>
      </w:r>
      <w:r>
        <w:rPr>
          <w:rFonts w:hint="eastAsia" w:asciiTheme="minorEastAsia" w:hAnsiTheme="minorEastAsia"/>
          <w:kern w:val="0"/>
          <w:sz w:val="24"/>
          <w:lang w:eastAsia="zh-CN"/>
        </w:rPr>
        <w:t>）；</w:t>
      </w:r>
    </w:p>
    <w:p w14:paraId="20651697">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16、</w:t>
      </w:r>
      <w:r>
        <w:rPr>
          <w:rFonts w:hint="default" w:asciiTheme="minorEastAsia" w:hAnsiTheme="minorEastAsia"/>
          <w:kern w:val="0"/>
          <w:sz w:val="24"/>
          <w:lang w:val="zh-CN" w:eastAsia="zh-CN"/>
        </w:rPr>
        <w:t>《城市道路交通标志和标线设置规范》</w:t>
      </w:r>
      <w:r>
        <w:rPr>
          <w:rFonts w:hint="eastAsia" w:asciiTheme="minorEastAsia" w:hAnsiTheme="minorEastAsia"/>
          <w:kern w:val="0"/>
          <w:sz w:val="24"/>
          <w:lang w:val="zh-CN" w:eastAsia="zh-CN"/>
        </w:rPr>
        <w:t>GB51038-2015</w:t>
      </w:r>
    </w:p>
    <w:p w14:paraId="74579160">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17、</w:t>
      </w:r>
      <w:r>
        <w:rPr>
          <w:rFonts w:hint="default" w:asciiTheme="minorEastAsia" w:hAnsiTheme="minorEastAsia"/>
          <w:kern w:val="0"/>
          <w:sz w:val="24"/>
          <w:lang w:val="zh-CN" w:eastAsia="zh-CN"/>
        </w:rPr>
        <w:t>《公路交通安全设施设计细则》JTG/T D81-2017</w:t>
      </w:r>
    </w:p>
    <w:p w14:paraId="0C8232FD">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18、</w:t>
      </w:r>
      <w:r>
        <w:rPr>
          <w:rFonts w:hint="default" w:asciiTheme="minorEastAsia" w:hAnsiTheme="minorEastAsia"/>
          <w:kern w:val="0"/>
          <w:sz w:val="24"/>
          <w:lang w:val="zh-CN" w:eastAsia="zh-CN"/>
        </w:rPr>
        <w:t>《公路交通安全设施施工技术规范》JTG/T 3671-2021</w:t>
      </w:r>
    </w:p>
    <w:p w14:paraId="3CC8223F">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19、</w:t>
      </w:r>
      <w:r>
        <w:rPr>
          <w:rFonts w:hint="default" w:asciiTheme="minorEastAsia" w:hAnsiTheme="minorEastAsia"/>
          <w:kern w:val="0"/>
          <w:sz w:val="24"/>
          <w:lang w:val="zh-CN" w:eastAsia="zh-CN"/>
        </w:rPr>
        <w:t>《路面标线涂料》JT/T280-2022</w:t>
      </w:r>
    </w:p>
    <w:p w14:paraId="0BE7059F">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20、</w:t>
      </w:r>
      <w:r>
        <w:rPr>
          <w:rFonts w:hint="default" w:asciiTheme="minorEastAsia" w:hAnsiTheme="minorEastAsia"/>
          <w:kern w:val="0"/>
          <w:sz w:val="24"/>
          <w:lang w:val="zh-CN" w:eastAsia="zh-CN"/>
        </w:rPr>
        <w:t>《道路交通标线质量要求和检测方法》GB/T 16311-2009</w:t>
      </w:r>
    </w:p>
    <w:p w14:paraId="154C74D1">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21、</w:t>
      </w:r>
      <w:r>
        <w:rPr>
          <w:rFonts w:hint="default" w:asciiTheme="minorEastAsia" w:hAnsiTheme="minorEastAsia"/>
          <w:kern w:val="0"/>
          <w:sz w:val="24"/>
          <w:lang w:val="zh-CN" w:eastAsia="zh-CN"/>
        </w:rPr>
        <w:t>《新划路面标线初始逆反射亮度系数及测试方法》GB/T 21383-2008</w:t>
      </w:r>
    </w:p>
    <w:p w14:paraId="20D13446">
      <w:pPr>
        <w:widowControl/>
        <w:spacing w:line="360" w:lineRule="auto"/>
        <w:ind w:firstLine="480" w:firstLineChars="200"/>
        <w:rPr>
          <w:rFonts w:hint="default" w:asciiTheme="minorEastAsia" w:hAnsiTheme="minorEastAsia"/>
          <w:kern w:val="0"/>
          <w:sz w:val="24"/>
          <w:lang w:val="zh-CN" w:eastAsia="zh-CN"/>
        </w:rPr>
      </w:pPr>
      <w:r>
        <w:rPr>
          <w:rFonts w:hint="eastAsia" w:asciiTheme="minorEastAsia" w:hAnsiTheme="minorEastAsia"/>
          <w:kern w:val="0"/>
          <w:sz w:val="24"/>
          <w:lang w:val="en-US" w:eastAsia="zh-CN"/>
        </w:rPr>
        <w:t>22、</w:t>
      </w:r>
      <w:r>
        <w:rPr>
          <w:rFonts w:hint="default" w:asciiTheme="minorEastAsia" w:hAnsiTheme="minorEastAsia"/>
          <w:kern w:val="0"/>
          <w:sz w:val="24"/>
          <w:lang w:val="zh-CN" w:eastAsia="zh-CN"/>
        </w:rPr>
        <w:t>《广州市道路交通管理设施设计技术指引》（2014.12）</w:t>
      </w:r>
    </w:p>
    <w:p w14:paraId="725EC9CB">
      <w:pPr>
        <w:widowControl/>
        <w:spacing w:line="360" w:lineRule="auto"/>
        <w:ind w:firstLine="480" w:firstLineChars="200"/>
        <w:rPr>
          <w:rFonts w:hint="eastAsia" w:asciiTheme="minorEastAsia" w:hAnsiTheme="minorEastAsia"/>
          <w:color w:val="000000"/>
          <w:kern w:val="0"/>
          <w:sz w:val="24"/>
          <w:lang w:eastAsia="zh-CN"/>
        </w:rPr>
      </w:pPr>
      <w:r>
        <w:rPr>
          <w:rFonts w:hint="eastAsia" w:asciiTheme="minorEastAsia" w:hAnsiTheme="minorEastAsia"/>
          <w:kern w:val="0"/>
          <w:sz w:val="24"/>
          <w:lang w:val="en-US" w:eastAsia="zh-CN"/>
        </w:rPr>
        <w:t>23、</w:t>
      </w:r>
      <w:r>
        <w:rPr>
          <w:rFonts w:hint="default" w:asciiTheme="minorEastAsia" w:hAnsiTheme="minorEastAsia"/>
          <w:kern w:val="0"/>
          <w:sz w:val="24"/>
          <w:lang w:val="zh-CN" w:eastAsia="zh-CN"/>
        </w:rPr>
        <w:t>《广州市道路交通指路标志系统设计技术指引》（2013.09）</w:t>
      </w:r>
    </w:p>
    <w:p w14:paraId="66BC58D5">
      <w:pPr>
        <w:widowControl/>
        <w:spacing w:line="360" w:lineRule="auto"/>
        <w:ind w:firstLine="480" w:firstLineChars="200"/>
        <w:rPr>
          <w:rFonts w:asciiTheme="minorEastAsia" w:hAnsiTheme="minorEastAsia"/>
          <w:kern w:val="0"/>
          <w:sz w:val="24"/>
        </w:rPr>
      </w:pPr>
      <w:r>
        <w:rPr>
          <w:rFonts w:hint="eastAsia" w:asciiTheme="minorEastAsia" w:hAnsiTheme="minorEastAsia"/>
          <w:kern w:val="0"/>
          <w:sz w:val="24"/>
          <w:lang w:val="en-US" w:eastAsia="zh-CN"/>
        </w:rPr>
        <w:t>24</w:t>
      </w:r>
      <w:r>
        <w:rPr>
          <w:rFonts w:hint="eastAsia" w:asciiTheme="minorEastAsia" w:hAnsiTheme="minorEastAsia"/>
          <w:kern w:val="0"/>
          <w:sz w:val="24"/>
        </w:rPr>
        <w:t>、</w:t>
      </w:r>
      <w:r>
        <w:rPr>
          <w:rFonts w:asciiTheme="minorEastAsia" w:hAnsiTheme="minorEastAsia"/>
          <w:kern w:val="0"/>
          <w:sz w:val="24"/>
        </w:rPr>
        <w:t>其它有关国家、地方法律、法规。</w:t>
      </w:r>
    </w:p>
    <w:p w14:paraId="2CEF4CD1">
      <w:pPr>
        <w:pStyle w:val="6"/>
        <w:spacing w:beforeLines="0"/>
        <w:rPr>
          <w:rFonts w:hint="eastAsia" w:asciiTheme="minorEastAsia" w:hAnsiTheme="minorEastAsia" w:eastAsiaTheme="minorEastAsia"/>
          <w:lang w:val="en-US" w:eastAsia="zh-CN"/>
        </w:rPr>
      </w:pPr>
      <w:r>
        <w:rPr>
          <w:rFonts w:hint="eastAsia" w:asciiTheme="minorEastAsia" w:hAnsiTheme="minorEastAsia" w:eastAsiaTheme="minorEastAsia"/>
          <w:lang w:val="en-US" w:eastAsia="zh-CN"/>
        </w:rPr>
        <w:t>2地质概况</w:t>
      </w:r>
    </w:p>
    <w:p w14:paraId="72CA59B3">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拟建的场地位于位于广东省广州市增城区中新镇慈岭村，拟建挡土墙工程长度约269m，挡土墙高度1.5~2.5m，</w:t>
      </w:r>
      <w:r>
        <w:rPr>
          <w:rFonts w:hint="eastAsia" w:asciiTheme="minorEastAsia" w:hAnsiTheme="minorEastAsia"/>
          <w:kern w:val="0"/>
          <w:sz w:val="24"/>
          <w:lang w:val="en-US" w:eastAsia="zh-CN"/>
        </w:rPr>
        <w:t>挡土墙</w:t>
      </w:r>
      <w:r>
        <w:rPr>
          <w:rFonts w:hint="eastAsia" w:asciiTheme="minorEastAsia" w:hAnsiTheme="minorEastAsia"/>
          <w:kern w:val="0"/>
          <w:sz w:val="24"/>
          <w:lang w:val="zh-CN" w:eastAsia="zh-CN"/>
        </w:rPr>
        <w:t>设计标高为</w:t>
      </w:r>
      <w:r>
        <w:rPr>
          <w:rFonts w:hint="eastAsia" w:asciiTheme="minorEastAsia" w:hAnsiTheme="minorEastAsia"/>
          <w:kern w:val="0"/>
          <w:sz w:val="24"/>
          <w:lang w:val="en-US" w:eastAsia="zh-CN"/>
        </w:rPr>
        <w:t>20.00～39.00</w:t>
      </w:r>
      <w:r>
        <w:rPr>
          <w:rFonts w:hint="eastAsia" w:asciiTheme="minorEastAsia" w:hAnsiTheme="minorEastAsia"/>
          <w:kern w:val="0"/>
          <w:sz w:val="24"/>
          <w:lang w:val="zh-CN" w:eastAsia="zh-CN"/>
        </w:rPr>
        <w:t>m，单桩竖向承载力特征值1200KN。地基基础设计拟采用重力式浆砌片石，上部采用水泥砂浆砌筑灰砂砖。拟采用</w:t>
      </w:r>
      <w:r>
        <w:rPr>
          <w:rFonts w:hint="eastAsia" w:asciiTheme="minorEastAsia" w:hAnsiTheme="minorEastAsia"/>
          <w:kern w:val="0"/>
          <w:sz w:val="24"/>
          <w:lang w:val="en-US" w:eastAsia="zh-CN"/>
        </w:rPr>
        <w:t>天然基础、桩</w:t>
      </w:r>
      <w:r>
        <w:rPr>
          <w:rFonts w:hint="eastAsia" w:asciiTheme="minorEastAsia" w:hAnsiTheme="minorEastAsia"/>
          <w:kern w:val="0"/>
          <w:sz w:val="24"/>
          <w:lang w:val="zh-CN" w:eastAsia="zh-CN"/>
        </w:rPr>
        <w:t>基础，基础埋深约</w:t>
      </w:r>
      <w:r>
        <w:rPr>
          <w:rFonts w:hint="eastAsia" w:asciiTheme="minorEastAsia" w:hAnsiTheme="minorEastAsia"/>
          <w:kern w:val="0"/>
          <w:sz w:val="24"/>
          <w:lang w:val="en-US" w:eastAsia="zh-CN"/>
        </w:rPr>
        <w:t>1.0</w:t>
      </w:r>
      <w:r>
        <w:rPr>
          <w:rFonts w:hint="eastAsia" w:asciiTheme="minorEastAsia" w:hAnsiTheme="minorEastAsia"/>
          <w:kern w:val="0"/>
          <w:sz w:val="24"/>
          <w:lang w:val="zh-CN" w:eastAsia="zh-CN"/>
        </w:rPr>
        <w:t>0~</w:t>
      </w:r>
      <w:r>
        <w:rPr>
          <w:rFonts w:hint="eastAsia" w:asciiTheme="minorEastAsia" w:hAnsiTheme="minorEastAsia"/>
          <w:kern w:val="0"/>
          <w:sz w:val="24"/>
          <w:lang w:val="en-US" w:eastAsia="zh-CN"/>
        </w:rPr>
        <w:t>2.</w:t>
      </w:r>
      <w:r>
        <w:rPr>
          <w:rFonts w:hint="eastAsia" w:asciiTheme="minorEastAsia" w:hAnsiTheme="minorEastAsia"/>
          <w:kern w:val="0"/>
          <w:sz w:val="24"/>
          <w:lang w:val="zh-CN" w:eastAsia="zh-CN"/>
        </w:rPr>
        <w:t>0</w:t>
      </w:r>
      <w:r>
        <w:rPr>
          <w:rFonts w:hint="eastAsia" w:asciiTheme="minorEastAsia" w:hAnsiTheme="minorEastAsia"/>
          <w:kern w:val="0"/>
          <w:sz w:val="24"/>
          <w:lang w:val="en-US" w:eastAsia="zh-CN"/>
        </w:rPr>
        <w:t>0</w:t>
      </w:r>
      <w:r>
        <w:rPr>
          <w:rFonts w:hint="eastAsia" w:asciiTheme="minorEastAsia" w:hAnsiTheme="minorEastAsia"/>
          <w:kern w:val="0"/>
          <w:sz w:val="24"/>
          <w:lang w:val="zh-CN" w:eastAsia="zh-CN"/>
        </w:rPr>
        <w:t>m。</w:t>
      </w:r>
      <w:r>
        <w:rPr>
          <w:rFonts w:hint="eastAsia" w:asciiTheme="minorEastAsia" w:hAnsiTheme="minorEastAsia"/>
          <w:kern w:val="0"/>
          <w:sz w:val="24"/>
          <w:lang w:val="en-US" w:eastAsia="zh-CN"/>
        </w:rPr>
        <w:t>初步预估</w:t>
      </w:r>
      <w:r>
        <w:rPr>
          <w:rFonts w:hint="eastAsia" w:asciiTheme="minorEastAsia" w:hAnsiTheme="minorEastAsia"/>
          <w:kern w:val="0"/>
          <w:sz w:val="24"/>
          <w:lang w:val="zh-CN" w:eastAsia="zh-CN"/>
        </w:rPr>
        <w:t>挡土墙重量为</w:t>
      </w:r>
      <w:r>
        <w:rPr>
          <w:rFonts w:hint="eastAsia" w:asciiTheme="minorEastAsia" w:hAnsiTheme="minorEastAsia"/>
          <w:kern w:val="0"/>
          <w:sz w:val="24"/>
          <w:lang w:val="en-US" w:eastAsia="zh-CN"/>
        </w:rPr>
        <w:t>8</w:t>
      </w:r>
      <w:r>
        <w:rPr>
          <w:rFonts w:hint="eastAsia" w:asciiTheme="minorEastAsia" w:hAnsiTheme="minorEastAsia"/>
          <w:kern w:val="0"/>
          <w:sz w:val="24"/>
          <w:lang w:val="zh-CN" w:eastAsia="zh-CN"/>
        </w:rPr>
        <w:t>5kN/ m2。抗震设防类别为乙类。</w:t>
      </w:r>
    </w:p>
    <w:p w14:paraId="7A509591">
      <w:pPr>
        <w:widowControl/>
        <w:spacing w:line="360" w:lineRule="auto"/>
        <w:ind w:firstLine="480" w:firstLineChars="200"/>
        <w:rPr>
          <w:rFonts w:hint="eastAsia" w:asciiTheme="minorEastAsia" w:hAnsiTheme="minorEastAsia"/>
          <w:kern w:val="0"/>
          <w:sz w:val="24"/>
          <w:lang w:val="en-US" w:eastAsia="zh-CN"/>
        </w:rPr>
      </w:pPr>
      <w:r>
        <w:rPr>
          <w:rFonts w:hint="eastAsia" w:asciiTheme="minorEastAsia" w:hAnsiTheme="minorEastAsia"/>
          <w:kern w:val="0"/>
          <w:sz w:val="24"/>
          <w:lang w:val="en-US" w:eastAsia="zh-CN"/>
        </w:rPr>
        <w:t>2.1场地岩土工程条件</w:t>
      </w:r>
    </w:p>
    <w:p w14:paraId="599B19C9">
      <w:pPr>
        <w:widowControl/>
        <w:spacing w:line="360" w:lineRule="auto"/>
        <w:ind w:firstLine="480" w:firstLineChars="200"/>
        <w:rPr>
          <w:rFonts w:hint="eastAsia" w:asciiTheme="minorEastAsia" w:hAnsiTheme="minorEastAsia"/>
          <w:kern w:val="0"/>
          <w:sz w:val="24"/>
          <w:lang w:val="zh-CN" w:eastAsia="zh-CN"/>
        </w:rPr>
      </w:pPr>
      <w:bookmarkStart w:id="2" w:name="_Toc32171"/>
      <w:r>
        <w:rPr>
          <w:rFonts w:hint="eastAsia" w:asciiTheme="minorEastAsia" w:hAnsiTheme="minorEastAsia"/>
          <w:kern w:val="0"/>
          <w:sz w:val="24"/>
          <w:lang w:val="zh-CN" w:eastAsia="zh-CN"/>
        </w:rPr>
        <w:t>（一）场地位置及地形地貌</w:t>
      </w:r>
      <w:bookmarkEnd w:id="2"/>
    </w:p>
    <w:p w14:paraId="38942C76">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拟建的场地位于广东省广州市增城区中新镇慈岭村。原始地貌类型为</w:t>
      </w:r>
      <w:r>
        <w:rPr>
          <w:rFonts w:hint="eastAsia" w:asciiTheme="minorEastAsia" w:hAnsiTheme="minorEastAsia"/>
          <w:kern w:val="0"/>
          <w:sz w:val="24"/>
          <w:lang w:val="en-US" w:eastAsia="zh-CN"/>
        </w:rPr>
        <w:t>珠三角冲积平原与低山丘陵交互</w:t>
      </w:r>
      <w:r>
        <w:rPr>
          <w:rFonts w:hint="eastAsia" w:asciiTheme="minorEastAsia" w:hAnsiTheme="minorEastAsia"/>
          <w:kern w:val="0"/>
          <w:sz w:val="24"/>
          <w:lang w:val="zh-CN" w:eastAsia="zh-CN"/>
        </w:rPr>
        <w:t>。</w:t>
      </w:r>
      <w:r>
        <w:rPr>
          <w:rFonts w:hint="eastAsia" w:asciiTheme="minorEastAsia" w:hAnsiTheme="minorEastAsia"/>
          <w:kern w:val="0"/>
          <w:sz w:val="24"/>
          <w:lang w:val="en-US" w:eastAsia="zh-CN"/>
        </w:rPr>
        <w:t>四周为空地及住宅楼，地势有一定起伏</w:t>
      </w:r>
      <w:r>
        <w:rPr>
          <w:rFonts w:hint="eastAsia" w:asciiTheme="minorEastAsia" w:hAnsiTheme="minorEastAsia"/>
          <w:kern w:val="0"/>
          <w:sz w:val="24"/>
          <w:lang w:val="zh-CN" w:eastAsia="zh-CN"/>
        </w:rPr>
        <w:t>，现场地钻孔孔口标高为</w:t>
      </w:r>
      <w:r>
        <w:rPr>
          <w:rFonts w:hint="eastAsia" w:asciiTheme="minorEastAsia" w:hAnsiTheme="minorEastAsia"/>
          <w:kern w:val="0"/>
          <w:sz w:val="24"/>
          <w:lang w:val="en-US" w:eastAsia="zh-CN"/>
        </w:rPr>
        <w:t>19.61</w:t>
      </w:r>
      <w:r>
        <w:rPr>
          <w:rFonts w:hint="eastAsia" w:asciiTheme="minorEastAsia" w:hAnsiTheme="minorEastAsia"/>
          <w:kern w:val="0"/>
          <w:sz w:val="24"/>
          <w:lang w:val="zh-CN" w:eastAsia="zh-CN"/>
        </w:rPr>
        <w:t>~</w:t>
      </w:r>
      <w:r>
        <w:rPr>
          <w:rFonts w:hint="eastAsia" w:asciiTheme="minorEastAsia" w:hAnsiTheme="minorEastAsia"/>
          <w:kern w:val="0"/>
          <w:sz w:val="24"/>
          <w:lang w:val="en-US" w:eastAsia="zh-CN"/>
        </w:rPr>
        <w:t>43.05</w:t>
      </w:r>
      <w:r>
        <w:rPr>
          <w:rFonts w:hint="eastAsia" w:asciiTheme="minorEastAsia" w:hAnsiTheme="minorEastAsia"/>
          <w:kern w:val="0"/>
          <w:sz w:val="24"/>
          <w:lang w:val="zh-CN" w:eastAsia="zh-CN"/>
        </w:rPr>
        <w:t>m。</w:t>
      </w:r>
    </w:p>
    <w:p w14:paraId="36BADF99">
      <w:pPr>
        <w:widowControl/>
        <w:spacing w:line="360" w:lineRule="auto"/>
        <w:ind w:firstLine="480" w:firstLineChars="200"/>
        <w:rPr>
          <w:rFonts w:hint="eastAsia" w:asciiTheme="minorEastAsia" w:hAnsiTheme="minorEastAsia"/>
          <w:kern w:val="0"/>
          <w:sz w:val="24"/>
          <w:lang w:val="zh-CN" w:eastAsia="zh-CN"/>
        </w:rPr>
      </w:pPr>
      <w:bookmarkStart w:id="3" w:name="_Toc11685"/>
      <w:r>
        <w:rPr>
          <w:rFonts w:hint="eastAsia" w:asciiTheme="minorEastAsia" w:hAnsiTheme="minorEastAsia"/>
          <w:kern w:val="0"/>
          <w:sz w:val="24"/>
          <w:lang w:val="zh-CN" w:eastAsia="zh-CN"/>
        </w:rPr>
        <w:t>（二）岩土组成及工程特性</w:t>
      </w:r>
      <w:bookmarkEnd w:id="3"/>
    </w:p>
    <w:p w14:paraId="2CB471EE">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根据钻孔揭露及现场调查结果，本区地层按岩土层的地质年代、成因类型、组成及物理力学性质的不同自上而下可分为①第四系人工填土层（Q4ml）、②第四系冲积层（Q4al）、③</w:t>
      </w:r>
      <w:r>
        <w:rPr>
          <w:rFonts w:hint="eastAsia" w:asciiTheme="minorEastAsia" w:hAnsiTheme="minorEastAsia"/>
          <w:kern w:val="0"/>
          <w:sz w:val="24"/>
          <w:lang w:val="en-US" w:eastAsia="zh-CN"/>
        </w:rPr>
        <w:t>坡积层</w:t>
      </w:r>
      <w:r>
        <w:rPr>
          <w:rFonts w:hint="eastAsia" w:asciiTheme="minorEastAsia" w:hAnsiTheme="minorEastAsia"/>
          <w:kern w:val="0"/>
          <w:sz w:val="24"/>
          <w:lang w:val="zh-CN" w:eastAsia="zh-CN"/>
        </w:rPr>
        <w:t>（Q4</w:t>
      </w:r>
      <w:r>
        <w:rPr>
          <w:rFonts w:hint="eastAsia" w:asciiTheme="minorEastAsia" w:hAnsiTheme="minorEastAsia"/>
          <w:kern w:val="0"/>
          <w:sz w:val="24"/>
          <w:lang w:val="en-US" w:eastAsia="zh-CN"/>
        </w:rPr>
        <w:t>d</w:t>
      </w:r>
      <w:r>
        <w:rPr>
          <w:rFonts w:hint="eastAsia" w:asciiTheme="minorEastAsia" w:hAnsiTheme="minorEastAsia"/>
          <w:kern w:val="0"/>
          <w:sz w:val="24"/>
          <w:lang w:val="zh-CN" w:eastAsia="zh-CN"/>
        </w:rPr>
        <w:t>l）</w:t>
      </w:r>
      <w:r>
        <w:rPr>
          <w:rFonts w:hint="eastAsia" w:asciiTheme="minorEastAsia" w:hAnsiTheme="minorEastAsia"/>
          <w:kern w:val="0"/>
          <w:sz w:val="24"/>
          <w:lang w:val="en-US" w:eastAsia="zh-CN"/>
        </w:rPr>
        <w:t>、④</w:t>
      </w:r>
      <w:r>
        <w:rPr>
          <w:rFonts w:hint="eastAsia" w:asciiTheme="minorEastAsia" w:hAnsiTheme="minorEastAsia"/>
          <w:kern w:val="0"/>
          <w:sz w:val="24"/>
          <w:lang w:val="zh-CN" w:eastAsia="zh-CN"/>
        </w:rPr>
        <w:t>花岗岩残积层（Qel）；基岩为</w:t>
      </w:r>
      <w:r>
        <w:rPr>
          <w:rFonts w:hint="eastAsia" w:asciiTheme="minorEastAsia" w:hAnsiTheme="minorEastAsia"/>
          <w:kern w:val="0"/>
          <w:sz w:val="24"/>
          <w:lang w:val="en-US" w:eastAsia="zh-CN"/>
        </w:rPr>
        <w:t>⑤</w:t>
      </w:r>
      <w:r>
        <w:rPr>
          <w:rFonts w:hint="eastAsia" w:asciiTheme="minorEastAsia" w:hAnsiTheme="minorEastAsia"/>
          <w:kern w:val="0"/>
          <w:sz w:val="24"/>
          <w:lang w:val="zh-CN" w:eastAsia="zh-CN"/>
        </w:rPr>
        <w:t>燕山期花岗岩（γ），现自上而下详述如下：</w:t>
      </w:r>
    </w:p>
    <w:p w14:paraId="4463B7EF">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①第四系人工填土层（Q4ml）：灰黄色、灰褐色、黄褐色、浅灰色等，稍湿～潮湿，松散，主要成分为黏性土、砂性土，局部含少量碎石，填土均匀性很差，离散性大，回填时间约20年。原拟建场地大部分被植物覆盖，20</w:t>
      </w:r>
      <w:r>
        <w:rPr>
          <w:rFonts w:hint="eastAsia" w:asciiTheme="minorEastAsia" w:hAnsiTheme="minorEastAsia"/>
          <w:kern w:val="0"/>
          <w:sz w:val="24"/>
          <w:lang w:val="en-US" w:eastAsia="zh-CN"/>
        </w:rPr>
        <w:t>04</w:t>
      </w:r>
      <w:r>
        <w:rPr>
          <w:rFonts w:hint="eastAsia" w:asciiTheme="minorEastAsia" w:hAnsiTheme="minorEastAsia"/>
          <w:kern w:val="0"/>
          <w:sz w:val="24"/>
          <w:lang w:val="zh-CN" w:eastAsia="zh-CN"/>
        </w:rPr>
        <w:t>年经人工挖山回填等形成现场地较厚的填土层，填土来源多为坡残积的土层。填土层厚度变化较大，不均匀，欠压实，具有一定的湿陷性，不能直接用作工程建筑基础持力层。后期施工应对填土湿陷性进行一定程度处理，处理方法有强夯、换层垫层法等，对填土进行处理后应考虑地基承载力和变形是否满足设计要求。拟建场地局部填土底面的天然坡度大于20%，经验算其稳定性为差。</w:t>
      </w:r>
    </w:p>
    <w:p w14:paraId="1E1A65AF">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②第四系冲积层（Q4al）：分3亚层进行描述。</w:t>
      </w:r>
    </w:p>
    <w:p w14:paraId="2583A90F">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②1粉质黏土：黄褐色、灰黄色，可塑，主要由黏、粉粒组成，含少量淤泥质土质，局部细中砂含量高，表层含少量腐烂植物根系，切面稍光滑，韧性中等，干强度高，摇震无反应。</w:t>
      </w:r>
    </w:p>
    <w:p w14:paraId="2F9A5094">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②2淤泥质土：深灰色，流塑-软塑，含较多有机质，夹有少量中砂、腐木，无摇振反应，稍有光泽，干强度及韧性中低，含水量高，压缩性高，强度低，有腥臭味，有机质含量平均值为4%。淤泥质土该层属于欠固结状态，未经处理，基础施工及开挖后地基会产生失稳和不均匀变形。</w:t>
      </w:r>
    </w:p>
    <w:p w14:paraId="5151C748">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②3</w:t>
      </w:r>
      <w:r>
        <w:rPr>
          <w:rFonts w:hint="eastAsia" w:asciiTheme="minorEastAsia" w:hAnsiTheme="minorEastAsia"/>
          <w:kern w:val="0"/>
          <w:sz w:val="24"/>
          <w:lang w:val="en-US" w:eastAsia="zh-CN"/>
        </w:rPr>
        <w:t>中</w:t>
      </w:r>
      <w:r>
        <w:rPr>
          <w:rFonts w:hint="eastAsia" w:asciiTheme="minorEastAsia" w:hAnsiTheme="minorEastAsia"/>
          <w:kern w:val="0"/>
          <w:sz w:val="24"/>
          <w:lang w:val="zh-CN" w:eastAsia="zh-CN"/>
        </w:rPr>
        <w:t>砂：浅灰色、灰黄色，饱和，稍密，成分以石英、长石为主，浑圆状，级配良好，含少量黏性土，夹</w:t>
      </w:r>
      <w:r>
        <w:rPr>
          <w:rFonts w:hint="eastAsia" w:asciiTheme="minorEastAsia" w:hAnsiTheme="minorEastAsia"/>
          <w:kern w:val="0"/>
          <w:sz w:val="24"/>
          <w:lang w:val="en-US" w:eastAsia="zh-CN"/>
        </w:rPr>
        <w:t>细</w:t>
      </w:r>
      <w:r>
        <w:rPr>
          <w:rFonts w:hint="eastAsia" w:asciiTheme="minorEastAsia" w:hAnsiTheme="minorEastAsia"/>
          <w:kern w:val="0"/>
          <w:sz w:val="24"/>
          <w:lang w:val="zh-CN" w:eastAsia="zh-CN"/>
        </w:rPr>
        <w:t>砂、</w:t>
      </w:r>
      <w:r>
        <w:rPr>
          <w:rFonts w:hint="eastAsia" w:asciiTheme="minorEastAsia" w:hAnsiTheme="minorEastAsia"/>
          <w:kern w:val="0"/>
          <w:sz w:val="24"/>
          <w:lang w:val="en-US" w:eastAsia="zh-CN"/>
        </w:rPr>
        <w:t>粗</w:t>
      </w:r>
      <w:r>
        <w:rPr>
          <w:rFonts w:hint="eastAsia" w:asciiTheme="minorEastAsia" w:hAnsiTheme="minorEastAsia"/>
          <w:kern w:val="0"/>
          <w:sz w:val="24"/>
          <w:lang w:val="zh-CN" w:eastAsia="zh-CN"/>
        </w:rPr>
        <w:t>砂。</w:t>
      </w:r>
    </w:p>
    <w:p w14:paraId="2EFC8606">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采取扰动样</w:t>
      </w:r>
      <w:r>
        <w:rPr>
          <w:rFonts w:hint="eastAsia" w:asciiTheme="minorEastAsia" w:hAnsiTheme="minorEastAsia"/>
          <w:kern w:val="0"/>
          <w:sz w:val="24"/>
          <w:lang w:val="en-US" w:eastAsia="zh-CN"/>
        </w:rPr>
        <w:t>1</w:t>
      </w:r>
      <w:r>
        <w:rPr>
          <w:rFonts w:hint="eastAsia" w:asciiTheme="minorEastAsia" w:hAnsiTheme="minorEastAsia"/>
          <w:kern w:val="0"/>
          <w:sz w:val="24"/>
          <w:lang w:val="zh-CN" w:eastAsia="zh-CN"/>
        </w:rPr>
        <w:t>件，统计</w:t>
      </w:r>
      <w:r>
        <w:rPr>
          <w:rFonts w:hint="eastAsia" w:asciiTheme="minorEastAsia" w:hAnsiTheme="minorEastAsia"/>
          <w:kern w:val="0"/>
          <w:sz w:val="24"/>
          <w:lang w:val="en-US" w:eastAsia="zh-CN"/>
        </w:rPr>
        <w:t>1</w:t>
      </w:r>
      <w:r>
        <w:rPr>
          <w:rFonts w:hint="eastAsia" w:asciiTheme="minorEastAsia" w:hAnsiTheme="minorEastAsia"/>
          <w:kern w:val="0"/>
          <w:sz w:val="24"/>
          <w:lang w:val="zh-CN" w:eastAsia="zh-CN"/>
        </w:rPr>
        <w:t>件，室内试验命名为</w:t>
      </w:r>
      <w:r>
        <w:rPr>
          <w:rFonts w:hint="eastAsia" w:asciiTheme="minorEastAsia" w:hAnsiTheme="minorEastAsia"/>
          <w:kern w:val="0"/>
          <w:sz w:val="24"/>
          <w:lang w:val="en-US" w:eastAsia="zh-CN"/>
        </w:rPr>
        <w:t>中</w:t>
      </w:r>
      <w:r>
        <w:rPr>
          <w:rFonts w:hint="eastAsia" w:asciiTheme="minorEastAsia" w:hAnsiTheme="minorEastAsia"/>
          <w:kern w:val="0"/>
          <w:sz w:val="24"/>
          <w:lang w:val="zh-CN" w:eastAsia="zh-CN"/>
        </w:rPr>
        <w:t>砂。</w:t>
      </w:r>
    </w:p>
    <w:p w14:paraId="3A4C5804">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③</w:t>
      </w:r>
      <w:r>
        <w:rPr>
          <w:rFonts w:hint="eastAsia" w:asciiTheme="minorEastAsia" w:hAnsiTheme="minorEastAsia"/>
          <w:kern w:val="0"/>
          <w:sz w:val="24"/>
          <w:lang w:val="en-US" w:eastAsia="zh-CN"/>
        </w:rPr>
        <w:t>坡</w:t>
      </w:r>
      <w:r>
        <w:rPr>
          <w:rFonts w:hint="eastAsia" w:asciiTheme="minorEastAsia" w:hAnsiTheme="minorEastAsia"/>
          <w:kern w:val="0"/>
          <w:sz w:val="24"/>
          <w:lang w:val="zh-CN" w:eastAsia="zh-CN"/>
        </w:rPr>
        <w:t>积层（Q</w:t>
      </w:r>
      <w:r>
        <w:rPr>
          <w:rFonts w:hint="eastAsia" w:asciiTheme="minorEastAsia" w:hAnsiTheme="minorEastAsia"/>
          <w:kern w:val="0"/>
          <w:sz w:val="24"/>
          <w:lang w:val="en-US" w:eastAsia="zh-CN"/>
        </w:rPr>
        <w:t>4d</w:t>
      </w:r>
      <w:r>
        <w:rPr>
          <w:rFonts w:hint="eastAsia" w:asciiTheme="minorEastAsia" w:hAnsiTheme="minorEastAsia"/>
          <w:kern w:val="0"/>
          <w:sz w:val="24"/>
          <w:lang w:val="zh-CN" w:eastAsia="zh-CN"/>
        </w:rPr>
        <w:t>l）：</w:t>
      </w:r>
      <w:r>
        <w:rPr>
          <w:rFonts w:hint="eastAsia" w:asciiTheme="minorEastAsia" w:hAnsiTheme="minorEastAsia"/>
          <w:kern w:val="0"/>
          <w:sz w:val="24"/>
          <w:lang w:val="en-US" w:eastAsia="zh-CN"/>
        </w:rPr>
        <w:t>粉质黏土：</w:t>
      </w:r>
      <w:r>
        <w:rPr>
          <w:rFonts w:hint="eastAsia" w:asciiTheme="minorEastAsia" w:hAnsiTheme="minorEastAsia"/>
          <w:kern w:val="0"/>
          <w:sz w:val="24"/>
          <w:lang w:val="zh-CN" w:eastAsia="zh-CN"/>
        </w:rPr>
        <w:t>黄褐色、土红色，硬可塑，主要成分为黏、粉粒，含少量砂颗粒，土质均匀，黏性、韧性中等，干强度中等，为坡积土。</w:t>
      </w:r>
    </w:p>
    <w:p w14:paraId="3B3EDD5D">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en-US" w:eastAsia="zh-CN"/>
        </w:rPr>
        <w:t>④</w:t>
      </w:r>
      <w:r>
        <w:rPr>
          <w:rFonts w:hint="eastAsia" w:asciiTheme="minorEastAsia" w:hAnsiTheme="minorEastAsia"/>
          <w:kern w:val="0"/>
          <w:sz w:val="24"/>
          <w:lang w:val="zh-CN" w:eastAsia="zh-CN"/>
        </w:rPr>
        <w:t>残积层（Qel）：砂质黏性土：紫红色、黄褐色、灰褐色，为花岗岩风化残积土，硬塑，土质不均匀，大于2mm颗粒含量约占总质量的15%，黏性和韧性较差，干强度较低，遇水易软化。</w:t>
      </w:r>
    </w:p>
    <w:p w14:paraId="6683607C">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en-US" w:eastAsia="zh-CN"/>
        </w:rPr>
        <w:t>⑤</w:t>
      </w:r>
      <w:r>
        <w:rPr>
          <w:rFonts w:hint="eastAsia" w:asciiTheme="minorEastAsia" w:hAnsiTheme="minorEastAsia"/>
          <w:kern w:val="0"/>
          <w:sz w:val="24"/>
          <w:lang w:val="zh-CN" w:eastAsia="zh-CN"/>
        </w:rPr>
        <w:t>燕山期花岗岩（γ）：按风化程度的不同分</w:t>
      </w:r>
      <w:r>
        <w:rPr>
          <w:rFonts w:hint="eastAsia" w:asciiTheme="minorEastAsia" w:hAnsiTheme="minorEastAsia"/>
          <w:kern w:val="0"/>
          <w:sz w:val="24"/>
          <w:lang w:val="en-US" w:eastAsia="zh-CN"/>
        </w:rPr>
        <w:t>2</w:t>
      </w:r>
      <w:r>
        <w:rPr>
          <w:rFonts w:hint="eastAsia" w:asciiTheme="minorEastAsia" w:hAnsiTheme="minorEastAsia"/>
          <w:kern w:val="0"/>
          <w:sz w:val="24"/>
          <w:lang w:val="zh-CN" w:eastAsia="zh-CN"/>
        </w:rPr>
        <w:t>个亚层进行描述：</w:t>
      </w:r>
    </w:p>
    <w:p w14:paraId="3965E607">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en-US" w:eastAsia="zh-CN"/>
        </w:rPr>
        <w:t>⑤</w:t>
      </w:r>
      <w:r>
        <w:rPr>
          <w:rFonts w:hint="eastAsia" w:asciiTheme="minorEastAsia" w:hAnsiTheme="minorEastAsia"/>
          <w:kern w:val="0"/>
          <w:sz w:val="24"/>
          <w:lang w:val="zh-CN" w:eastAsia="zh-CN"/>
        </w:rPr>
        <w:t>1全风化花岗岩：黄灰色、黄褐色、灰褐色，岩石风化剧烈，主要矿物成分已高岭土化，原岩结构可辨，为极软岩，岩芯呈坚硬土柱状，手捏成粉碎，水浸易软化、崩解，岩体基本质量等级为Ⅴ级。</w:t>
      </w:r>
    </w:p>
    <w:p w14:paraId="2FB5AD2A">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en-US" w:eastAsia="zh-CN"/>
        </w:rPr>
        <w:t>⑤</w:t>
      </w:r>
      <w:r>
        <w:rPr>
          <w:rFonts w:hint="eastAsia" w:asciiTheme="minorEastAsia" w:hAnsiTheme="minorEastAsia"/>
          <w:kern w:val="0"/>
          <w:sz w:val="24"/>
          <w:lang w:val="zh-CN" w:eastAsia="zh-CN"/>
        </w:rPr>
        <w:t>2强风化花岗岩：黄灰色、灰褐色，岩石风化强烈，主要矿物成分未完全黏性土化，原岩结构清晰，为极软岩，岩体极破碎，岩芯呈土夹碎石状、砂状，少量碎块状，水浸易软化、崩解，岩体基本质量等级为Ⅴ级。</w:t>
      </w:r>
    </w:p>
    <w:p w14:paraId="1A711B3F">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上述各地层的分布及特性详见钻孔柱状图及工程地质剖面图；岩土层性状描述详见“钻孔地质柱状图”。</w:t>
      </w:r>
    </w:p>
    <w:p w14:paraId="5C7719F9">
      <w:pPr>
        <w:widowControl/>
        <w:spacing w:line="360" w:lineRule="auto"/>
        <w:ind w:firstLine="480" w:firstLineChars="200"/>
        <w:rPr>
          <w:rFonts w:hint="eastAsia" w:asciiTheme="minorEastAsia" w:hAnsiTheme="minorEastAsia"/>
          <w:kern w:val="0"/>
          <w:sz w:val="24"/>
          <w:lang w:val="zh-CN" w:eastAsia="zh-CN"/>
        </w:rPr>
      </w:pPr>
      <w:bookmarkStart w:id="4" w:name="_Toc25509"/>
      <w:r>
        <w:rPr>
          <w:rFonts w:hint="eastAsia" w:asciiTheme="minorEastAsia" w:hAnsiTheme="minorEastAsia"/>
          <w:kern w:val="0"/>
          <w:sz w:val="24"/>
          <w:lang w:val="zh-CN" w:eastAsia="zh-CN"/>
        </w:rPr>
        <w:t>（三）水文情况</w:t>
      </w:r>
      <w:bookmarkEnd w:id="4"/>
    </w:p>
    <w:p w14:paraId="56344397">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1、地表水</w:t>
      </w:r>
    </w:p>
    <w:p w14:paraId="6C9481A6">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en-US" w:eastAsia="zh-CN"/>
        </w:rPr>
        <w:t>无地表水</w:t>
      </w:r>
      <w:r>
        <w:rPr>
          <w:rFonts w:hint="eastAsia" w:asciiTheme="minorEastAsia" w:hAnsiTheme="minorEastAsia"/>
          <w:kern w:val="0"/>
          <w:sz w:val="24"/>
          <w:lang w:val="zh-CN" w:eastAsia="zh-CN"/>
        </w:rPr>
        <w:t>。</w:t>
      </w:r>
    </w:p>
    <w:p w14:paraId="513F0853">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2、地下水类型</w:t>
      </w:r>
    </w:p>
    <w:p w14:paraId="69B7ED2B">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根据地下水的含水介质类型划分，场地地下水主要分为上层滞水、第四系孔隙水、基岩裂隙水。</w:t>
      </w:r>
    </w:p>
    <w:p w14:paraId="1F4D3002">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1）上层滞水</w:t>
      </w:r>
    </w:p>
    <w:p w14:paraId="78B7BA6C">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赋存于人工填土层。人工填土层广泛分布，厚度较大，结构疏松，含上层滞水。受大气降水和周围地表水的渗透补给，视填土层自重压实程度的不同透水性差异很大，属于弱透水层，富水性一般，其排泄方式主要为重力作用下渗入其他含水层、或通过地表蒸发和植物蒸腾进入大气。</w:t>
      </w:r>
    </w:p>
    <w:p w14:paraId="0F96E134">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2）第四系砂层孔隙水</w:t>
      </w:r>
    </w:p>
    <w:p w14:paraId="39CA058D">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赋存于</w:t>
      </w:r>
      <w:r>
        <w:rPr>
          <w:rFonts w:hint="eastAsia" w:asciiTheme="minorEastAsia" w:hAnsiTheme="minorEastAsia"/>
          <w:kern w:val="0"/>
          <w:sz w:val="24"/>
          <w:lang w:val="en-US" w:eastAsia="zh-CN"/>
        </w:rPr>
        <w:t>中</w:t>
      </w:r>
      <w:r>
        <w:rPr>
          <w:rFonts w:hint="eastAsia" w:asciiTheme="minorEastAsia" w:hAnsiTheme="minorEastAsia"/>
          <w:kern w:val="0"/>
          <w:sz w:val="24"/>
          <w:lang w:val="zh-CN" w:eastAsia="zh-CN"/>
        </w:rPr>
        <w:t>砂的孔隙中。砂层主要位于粉质黏土层（相对隔水层）之下，所赋存的地下水为为承压水。中砂局部分布，厚度较大，为强透水层，含水量丰富，其补给来源主要通过临近地表径流，侧向含水层渗透补给及大气降水垂直渗透补给，其排泄方式主要为在重力作用下流入其他含水层或通过地面蒸发的形式进入大气。</w:t>
      </w:r>
    </w:p>
    <w:p w14:paraId="243B52B9">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3）基岩风化裂隙水</w:t>
      </w:r>
    </w:p>
    <w:p w14:paraId="0F289760">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w:t>主要赋存于一定深度的强风化花岗岩、中风化花岗岩的风化裂隙中，含水层无明确界限，埋深和厚度不稳定，其透水性主要取决于裂隙发育程度、岩石风化程度和含泥量。风化程度越小、裂隙充填程度越大，渗透系数则越低，基岩风化裂隙水为微承压水，补给来源主要上部土层渗透补给，通过地层下渗、径流等方式排泄。</w:t>
      </w:r>
    </w:p>
    <w:p w14:paraId="7381C5FF">
      <w:pPr>
        <w:widowControl/>
        <w:spacing w:line="360" w:lineRule="auto"/>
        <w:ind w:firstLine="480" w:firstLineChars="200"/>
        <w:rPr>
          <w:rFonts w:hint="eastAsia" w:asciiTheme="minorEastAsia" w:hAnsiTheme="minorEastAsia"/>
          <w:kern w:val="0"/>
          <w:sz w:val="24"/>
          <w:lang w:val="zh-CN" w:eastAsia="zh-CN"/>
        </w:rPr>
      </w:pPr>
      <w:r>
        <w:rPr>
          <w:rFonts w:hint="eastAsia" w:asciiTheme="minorEastAsia" w:hAnsiTheme="minorEastAsia"/>
          <w:kern w:val="0"/>
          <w:sz w:val="24"/>
          <w:lang w:val="zh-CN" w:eastAsia="zh-CN"/>
        </w:rPr>
        <mc:AlternateContent>
          <mc:Choice Requires="wps">
            <w:drawing>
              <wp:anchor distT="0" distB="0" distL="114300" distR="114300" simplePos="0" relativeHeight="251664384" behindDoc="0" locked="0" layoutInCell="1" allowOverlap="1">
                <wp:simplePos x="0" y="0"/>
                <wp:positionH relativeFrom="column">
                  <wp:posOffset>8546465</wp:posOffset>
                </wp:positionH>
                <wp:positionV relativeFrom="paragraph">
                  <wp:posOffset>796290</wp:posOffset>
                </wp:positionV>
                <wp:extent cx="648970" cy="485140"/>
                <wp:effectExtent l="0" t="0" r="0" b="0"/>
                <wp:wrapNone/>
                <wp:docPr id="30" name="矩形 30"/>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1D080D5">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62.7pt;height:38.2pt;width:51.1pt;z-index:251664384;v-text-anchor:middle;mso-width-relative:page;mso-height-relative:page;" filled="f" stroked="f" coordsize="21600,21600" o:gfxdata="UEsDBAoAAAAAAIdO4kAAAAAAAAAAAAAAAAAEAAAAZHJzL1BLAwQUAAAACACHTuJAtnv7LtoAAAAN&#10;AQAADwAAAGRycy9kb3ducmV2LnhtbE2PwU7DMAyG70i8Q2QkbixpyVDXNZ0mBEg7siIhbmlj2kLj&#10;VE3WbW9PdmI3//Kn35+LzckObMbJ944UJAsBDKlxpqdWwUf1+pAB80GT0YMjVHBGD5vy9qbQuXFH&#10;esd5H1oWS8jnWkEXwphz7psOrfYLNyLF3bebrA4xTi03kz7GcjvwVIgnbnVP8UKnR3zusPndH6wC&#10;X8+76jxuP3++fFNvX8hWcvem1P1dItbAAp7CPwwX/agOZXSq3YGMZ0PMj3K5imyc0qUEdkGkzBJg&#10;tYJUJBnwsuDXX5R/UEsDBBQAAAAIAIdO4kCfu5TQUgIAAJcEAAAOAAAAZHJzL2Uyb0RvYy54bWyt&#10;VEtu2zAQ3RfoHQjuG9mu8zMiB0aMFAWCJkBadE1TpEWAv5K05fQyBbrrIXqcotfoI6U4RtpFFt1I&#10;M5zRG743M7q43BlNtiJE5WxNx0cjSoTlrlF2XdNPH6/fnFESE7MN086Kmj6ISC/nr19ddH4mJq51&#10;uhGBAMTGWedr2qbkZ1UVeSsMi0fOC4ugdMGwBDesqyawDuhGV5PR6KTqXGh8cFzEiNNlH6QDYngJ&#10;oJNScbF0fGOETT1qEJolUIqt8pHOy22lFDzdShlFIrqmYJrKE0Vgr/Kzml+w2Tow3yo+XIG95ArP&#10;OBmmLIruoZYsMbIJ6i8oo3hw0cl0xJ2peiJFEbAYj55pc98yLwoXSB39XvT4/2D5h+1dIKqp6VtI&#10;YplBx39/+/Hr53eCA6jT+ThD0r2/C4MXYWaqOxlMfoME2RVFH/aKil0iHIcn07PzUwBzhKZnx+Np&#10;wayePvYhpnfCGZKNmgY0rOjItjcxoSBSH1NyLeuuldaladqSrqaT4+ko4zNMosQEwDQebKJdU8L0&#10;GiPOUyiQB99myCWLLdkyzEV0WjWZK4ppi1fm3LPMVtqtdgP1lWseIFdw/RxFz68VoG5YTHcsYHBw&#10;FaxWusVDaof7ucGipHXh67/Ocz76iSglHQYR9/myYUFQot9bdPp8PIVqJBVnenw6gRMOI6vDiN2Y&#10;KwdOYyyx58XM+Uk/mjI48xkbuMhVEWKWo3av0uBcpX5BsMNcLBYlDdPqWbqx955n8L4Xi01yUpU2&#10;ZaF6dQb9MK9F0GG38kIc+iXr6X8y/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2e/su2gAAAA0B&#10;AAAPAAAAAAAAAAEAIAAAACIAAABkcnMvZG93bnJldi54bWxQSwECFAAUAAAACACHTuJAn7uU0FIC&#10;AACXBAAADgAAAAAAAAABACAAAAApAQAAZHJzL2Uyb0RvYy54bWxQSwUGAAAAAAYABgBZAQAA7QUA&#10;AAAA&#10;">
                <v:fill on="f" focussize="0,0"/>
                <v:stroke on="f" weight="2pt"/>
                <v:imagedata o:title=""/>
                <o:lock v:ext="edit" aspectratio="f"/>
                <v:textbox>
                  <w:txbxContent>
                    <w:p w14:paraId="71D080D5">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r>
        <w:rPr>
          <w:rFonts w:hint="eastAsia" w:asciiTheme="minorEastAsia" w:hAnsiTheme="minorEastAsia"/>
          <w:kern w:val="0"/>
          <w:sz w:val="24"/>
          <w:lang w:val="zh-CN" w:eastAsia="zh-CN"/>
        </w:rPr>
        <mc:AlternateContent>
          <mc:Choice Requires="wps">
            <w:drawing>
              <wp:anchor distT="0" distB="0" distL="114300" distR="114300" simplePos="0" relativeHeight="251663360" behindDoc="0" locked="0" layoutInCell="1" allowOverlap="1">
                <wp:simplePos x="0" y="0"/>
                <wp:positionH relativeFrom="column">
                  <wp:posOffset>1289050</wp:posOffset>
                </wp:positionH>
                <wp:positionV relativeFrom="paragraph">
                  <wp:posOffset>664210</wp:posOffset>
                </wp:positionV>
                <wp:extent cx="2213610" cy="511810"/>
                <wp:effectExtent l="0" t="0" r="0" b="0"/>
                <wp:wrapNone/>
                <wp:docPr id="29" name="矩形 29"/>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010CB48">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0748E597">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52.3pt;height:40.3pt;width:174.3pt;z-index:251663360;v-text-anchor:middle;mso-width-relative:page;mso-height-relative:page;" filled="f" stroked="f" coordsize="21600,21600" o:gfxdata="UEsDBAoAAAAAAIdO4kAAAAAAAAAAAAAAAAAEAAAAZHJzL1BLAwQUAAAACACHTuJAPTff5tkAAAAL&#10;AQAADwAAAGRycy9kb3ducmV2LnhtbE2PQU/DMAyF70j8h8hI3FjSsk5T13SaECDtyIqEuKWN1xYa&#10;p2qybvv3mBPcbL+n5+8V24sbxIxT6D1pSBYKBFLjbU+thvfq5WENIkRD1gyeUMMVA2zL25vC5Naf&#10;6Q3nQ2wFh1DIjYYuxjGXMjQdOhMWfkRi7egnZyKvUyvtZM4c7gaZKrWSzvTEHzoz4lOHzffh5DSE&#10;et5X13H38fUZmnr3TK5a7l+1vr9L1AZExEv8M8MvPqNDyUy1P5ENYtCQqkfuEllQyxUIdmRZwkPN&#10;l3WWgiwL+b9D+QNQSwMEFAAAAAgAh07iQNJVSRFRAgAAmAQAAA4AAABkcnMvZTJvRG9jLnhtbK1U&#10;zW4TMRC+I/EOlu90syEtbdRNFTUqQqqgUkGcHa+dteQ/bCeb8jJI3HgIHgfxGnz2btuocOiBizPj&#10;mf083zczOb/YG012IkTlbEProwklwnLXKrtp6KePV69OKYmJ2ZZpZ0VD70SkF4uXL857PxdT1znd&#10;ikAAYuO89w3tUvLzqoq8E4bFI+eFRVC6YFiCGzZVG1gPdKOr6WRyUvUutD44LmLE7WoI0hExPAfQ&#10;Sam4WDm+NcKmATUIzRIoxU75SBelWikFTx+kjCIR3VAwTeXEI7DX+awW52y+Ccx3io8lsOeU8IST&#10;Ycri0QeoFUuMbIP6C8ooHlx0Mh1xZ6qBSFEELOrJE21uO+ZF4QKpo38QPf4/WP5+dxOIahs6PaPE&#10;MoOO//7249fP7wQXUKf3cY6kW38TRi/CzFT3Mpj8CxJkXxS9e1BU7BPhuJxO69cnNcTmiB3X9Sls&#10;wFSPX/sQ01vhDMlGQwM6VoRku+uYhtT7lPyYdVdKa9yzubakxwvHs0nGZxhFiRGAaTzoRLuhhOkN&#10;ZpynUCAPvs2QKxY7smMYjOi0ase6tEV5mfRAM1tpv96P3NeuvYNewQ2DFD2/UoC6ZjHdsIDJQSnY&#10;rfQBh9QO9bnRoqRz4eu/7nM+GoooJT0mEfV82bIgKNHvLFp9Vs9mgE3FmR2/mcIJh5H1YcRuzaUD&#10;pxpb7Hkxc37S96YMznzGCi7zqwgxy/H2oNLoXKZhQ7DEXCyXJQ3j6lm6treeZ/ChF8ttclKVNmWh&#10;BnVG/TCwpdHjcuWNOPRL1uMfyu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PTff5tkAAAALAQAA&#10;DwAAAAAAAAABACAAAAAiAAAAZHJzL2Rvd25yZXYueG1sUEsBAhQAFAAAAAgAh07iQNJVSRFRAgAA&#10;mAQAAA4AAAAAAAAAAQAgAAAAKAEAAGRycy9lMm9Eb2MueG1sUEsFBgAAAAAGAAYAWQEAAOsFAAAA&#10;AA==&#10;">
                <v:fill on="f" focussize="0,0"/>
                <v:stroke on="f" weight="2pt"/>
                <v:imagedata o:title=""/>
                <o:lock v:ext="edit" aspectratio="f"/>
                <v:textbox>
                  <w:txbxContent>
                    <w:p w14:paraId="6010CB48">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0748E597">
                      <w:pPr>
                        <w:jc w:val="center"/>
                        <w:rPr>
                          <w:color w:val="000000" w:themeColor="text1"/>
                          <w:sz w:val="28"/>
                          <w:szCs w:val="28"/>
                          <w14:textFill>
                            <w14:solidFill>
                              <w14:schemeClr w14:val="tx1"/>
                            </w14:solidFill>
                          </w14:textFill>
                        </w:rPr>
                      </w:pPr>
                    </w:p>
                  </w:txbxContent>
                </v:textbox>
              </v:rect>
            </w:pict>
          </mc:Fallback>
        </mc:AlternateContent>
      </w:r>
      <w:r>
        <w:rPr>
          <w:rFonts w:hint="eastAsia" w:asciiTheme="minorEastAsia" w:hAnsiTheme="minorEastAsia"/>
          <w:kern w:val="0"/>
          <w:sz w:val="24"/>
          <w:lang w:val="en-US" w:eastAsia="zh-CN"/>
        </w:rPr>
        <w:t>3</w:t>
      </w:r>
      <w:r>
        <w:rPr>
          <w:rFonts w:hint="eastAsia" w:asciiTheme="minorEastAsia" w:hAnsiTheme="minorEastAsia"/>
          <w:kern w:val="0"/>
          <w:sz w:val="24"/>
          <w:lang w:val="zh-CN" w:eastAsia="zh-CN"/>
        </w:rPr>
        <w:t>、地下水动态变化</w:t>
      </w:r>
    </w:p>
    <w:p w14:paraId="799524D3">
      <w:pPr>
        <w:widowControl/>
        <w:spacing w:line="360" w:lineRule="auto"/>
        <w:ind w:firstLine="480" w:firstLineChars="200"/>
        <w:rPr>
          <w:rFonts w:hint="eastAsia" w:asciiTheme="minorEastAsia" w:hAnsiTheme="minorEastAsia"/>
          <w:kern w:val="0"/>
          <w:sz w:val="24"/>
          <w:lang w:val="en-US" w:eastAsia="zh-CN"/>
        </w:rPr>
      </w:pPr>
      <w:r>
        <w:rPr>
          <w:rFonts w:hint="eastAsia" w:asciiTheme="minorEastAsia" w:hAnsiTheme="minorEastAsia"/>
          <w:kern w:val="0"/>
          <w:sz w:val="24"/>
          <w:lang w:val="zh-CN" w:eastAsia="zh-CN"/>
        </w:rPr>
        <w:t>勘察区地下水位随地形及季节变化，场地地下水体埋藏较深。其动态变化具季节性周期，雨季地下水位明显上升，旱季地下水位回落下降，年变化幅度较大，地下水对边坡的影响主要表现为大气降水下渗浸润导致坡面岩土体的饱和和坡面形成径流冲涮，地下水水位和水量因季节性影响而变化。施工期间测得钻孔稳定水位埋深为</w:t>
      </w:r>
      <w:r>
        <w:rPr>
          <w:rFonts w:hint="eastAsia" w:asciiTheme="minorEastAsia" w:hAnsiTheme="minorEastAsia"/>
          <w:kern w:val="0"/>
          <w:sz w:val="24"/>
          <w:lang w:val="en-US" w:eastAsia="zh-CN"/>
        </w:rPr>
        <w:t>4.30</w:t>
      </w:r>
      <w:r>
        <w:rPr>
          <w:rFonts w:hint="eastAsia" w:asciiTheme="minorEastAsia" w:hAnsiTheme="minorEastAsia"/>
          <w:kern w:val="0"/>
          <w:sz w:val="24"/>
          <w:lang w:val="zh-CN" w:eastAsia="zh-CN"/>
        </w:rPr>
        <w:t>~</w:t>
      </w:r>
      <w:r>
        <w:rPr>
          <w:rFonts w:hint="eastAsia" w:asciiTheme="minorEastAsia" w:hAnsiTheme="minorEastAsia"/>
          <w:kern w:val="0"/>
          <w:sz w:val="24"/>
          <w:lang w:val="en-US" w:eastAsia="zh-CN"/>
        </w:rPr>
        <w:t>7.50</w:t>
      </w:r>
      <w:r>
        <w:rPr>
          <w:rFonts w:hint="eastAsia" w:asciiTheme="minorEastAsia" w:hAnsiTheme="minorEastAsia"/>
          <w:kern w:val="0"/>
          <w:sz w:val="24"/>
          <w:lang w:val="zh-CN" w:eastAsia="zh-CN"/>
        </w:rPr>
        <w:t>m，水位标高</w:t>
      </w:r>
      <w:r>
        <w:rPr>
          <w:rFonts w:hint="eastAsia" w:asciiTheme="minorEastAsia" w:hAnsiTheme="minorEastAsia"/>
          <w:kern w:val="0"/>
          <w:sz w:val="24"/>
          <w:lang w:val="en-US" w:eastAsia="zh-CN"/>
        </w:rPr>
        <w:t>14.75</w:t>
      </w:r>
      <w:r>
        <w:rPr>
          <w:rFonts w:hint="eastAsia" w:asciiTheme="minorEastAsia" w:hAnsiTheme="minorEastAsia"/>
          <w:kern w:val="0"/>
          <w:sz w:val="24"/>
          <w:lang w:val="zh-CN" w:eastAsia="zh-CN"/>
        </w:rPr>
        <w:t>~</w:t>
      </w:r>
      <w:r>
        <w:rPr>
          <w:rFonts w:hint="eastAsia" w:asciiTheme="minorEastAsia" w:hAnsiTheme="minorEastAsia"/>
          <w:kern w:val="0"/>
          <w:sz w:val="24"/>
          <w:lang w:val="en-US" w:eastAsia="zh-CN"/>
        </w:rPr>
        <w:t>16.84</w:t>
      </w:r>
      <w:r>
        <w:rPr>
          <w:rFonts w:hint="eastAsia" w:asciiTheme="minorEastAsia" w:hAnsiTheme="minorEastAsia"/>
          <w:kern w:val="0"/>
          <w:sz w:val="24"/>
          <w:lang w:val="zh-CN" w:eastAsia="zh-CN"/>
        </w:rPr>
        <w:t>m（水位高差</w:t>
      </w:r>
      <w:r>
        <w:rPr>
          <w:rFonts w:hint="eastAsia" w:asciiTheme="minorEastAsia" w:hAnsiTheme="minorEastAsia"/>
          <w:kern w:val="0"/>
          <w:sz w:val="24"/>
          <w:lang w:val="en-US" w:eastAsia="zh-CN"/>
        </w:rPr>
        <w:t>2.09</w:t>
      </w:r>
      <w:r>
        <w:rPr>
          <w:rFonts w:hint="eastAsia" w:asciiTheme="minorEastAsia" w:hAnsiTheme="minorEastAsia"/>
          <w:kern w:val="0"/>
          <w:sz w:val="24"/>
          <w:lang w:val="zh-CN" w:eastAsia="zh-CN"/>
        </w:rPr>
        <w:t>m），初见水位跟稳定水位基本</w:t>
      </w:r>
      <w:r>
        <w:rPr>
          <w:rFonts w:hint="eastAsia" w:asciiTheme="minorEastAsia" w:hAnsiTheme="minorEastAsia"/>
          <w:kern w:val="0"/>
          <w:sz w:val="24"/>
          <w:lang w:val="en-US" w:eastAsia="zh-CN"/>
        </w:rPr>
        <w:t>为</w:t>
      </w:r>
      <w:r>
        <w:rPr>
          <w:rFonts w:hint="eastAsia" w:asciiTheme="minorEastAsia" w:hAnsiTheme="minorEastAsia"/>
          <w:kern w:val="0"/>
          <w:sz w:val="24"/>
          <w:lang w:val="zh-CN" w:eastAsia="zh-CN"/>
        </w:rPr>
        <w:t>一致，地下水位年变化幅度1~2m，场地无地下水位长期观测资料，施工期间场地不存在地下水和地表水污染源。</w:t>
      </w:r>
    </w:p>
    <w:p w14:paraId="1F1FC0BB">
      <w:pPr>
        <w:pStyle w:val="6"/>
        <w:spacing w:beforeLines="0"/>
        <w:rPr>
          <w:rFonts w:asciiTheme="minorEastAsia" w:hAnsiTheme="minorEastAsia" w:eastAsiaTheme="minorEastAsia"/>
        </w:rPr>
      </w:pPr>
      <w:bookmarkStart w:id="5" w:name="_Toc134264240"/>
      <w:bookmarkStart w:id="6" w:name="_Toc134264480"/>
      <w:r>
        <w:rPr>
          <w:rFonts w:hint="eastAsia" w:asciiTheme="minorEastAsia" w:hAnsiTheme="minorEastAsia" w:eastAsiaTheme="minorEastAsia"/>
          <w:lang w:val="en-US" w:eastAsia="zh-CN"/>
        </w:rPr>
        <w:t>3</w:t>
      </w:r>
      <w:r>
        <w:rPr>
          <w:rFonts w:hint="eastAsia" w:asciiTheme="minorEastAsia" w:hAnsiTheme="minorEastAsia" w:eastAsiaTheme="minorEastAsia"/>
        </w:rPr>
        <w:t>设计概要</w:t>
      </w:r>
      <w:bookmarkEnd w:id="5"/>
      <w:bookmarkEnd w:id="6"/>
    </w:p>
    <w:p w14:paraId="5B20FA24">
      <w:pPr>
        <w:pStyle w:val="6"/>
        <w:spacing w:beforeLines="0"/>
        <w:rPr>
          <w:rFonts w:asciiTheme="minorEastAsia" w:hAnsiTheme="minorEastAsia" w:eastAsiaTheme="minorEastAsia"/>
        </w:rPr>
      </w:pPr>
      <w:bookmarkStart w:id="7" w:name="_Toc134264241"/>
      <w:bookmarkStart w:id="8" w:name="_Toc134264481"/>
      <w:r>
        <w:rPr>
          <w:rFonts w:hint="eastAsia" w:asciiTheme="minorEastAsia" w:hAnsiTheme="minorEastAsia" w:eastAsiaTheme="minorEastAsia"/>
          <w:lang w:val="en-US" w:eastAsia="zh-CN"/>
        </w:rPr>
        <w:t>3</w:t>
      </w:r>
      <w:r>
        <w:rPr>
          <w:rFonts w:hint="eastAsia" w:asciiTheme="minorEastAsia" w:hAnsiTheme="minorEastAsia" w:eastAsiaTheme="minorEastAsia"/>
        </w:rPr>
        <w:t>.1项目概况</w:t>
      </w:r>
      <w:bookmarkEnd w:id="7"/>
      <w:bookmarkEnd w:id="8"/>
    </w:p>
    <w:p w14:paraId="02BCA874">
      <w:pPr>
        <w:pStyle w:val="5"/>
        <w:spacing w:line="360" w:lineRule="auto"/>
        <w:ind w:firstLine="480"/>
        <w:rPr>
          <w:rFonts w:hint="eastAsia" w:cs="Times New Roman" w:asciiTheme="minorEastAsia" w:hAnsiTheme="minorEastAsia"/>
          <w:color w:val="000000"/>
          <w:sz w:val="24"/>
          <w:szCs w:val="20"/>
        </w:rPr>
      </w:pPr>
      <w:r>
        <w:rPr>
          <w:rFonts w:hint="eastAsia" w:cs="Times New Roman" w:asciiTheme="minorEastAsia" w:hAnsiTheme="minorEastAsia"/>
          <w:color w:val="000000"/>
          <w:sz w:val="24"/>
          <w:szCs w:val="20"/>
        </w:rPr>
        <w:t>本项目工程位于广州市增城区</w:t>
      </w:r>
      <w:r>
        <w:rPr>
          <w:rFonts w:hint="eastAsia" w:cs="Times New Roman" w:asciiTheme="minorEastAsia" w:hAnsiTheme="minorEastAsia"/>
          <w:color w:val="000000"/>
          <w:sz w:val="24"/>
          <w:szCs w:val="20"/>
          <w:lang w:eastAsia="zh-CN"/>
        </w:rPr>
        <w:t>中新镇慈岭村</w:t>
      </w:r>
      <w:r>
        <w:rPr>
          <w:rFonts w:hint="eastAsia" w:cs="Times New Roman" w:asciiTheme="minorEastAsia" w:hAnsiTheme="minorEastAsia"/>
          <w:color w:val="000000"/>
          <w:sz w:val="24"/>
          <w:szCs w:val="20"/>
        </w:rPr>
        <w:t>，为美丽乡村建设工程。本图册仅为道路工程，排水工程</w:t>
      </w:r>
      <w:r>
        <w:rPr>
          <w:rFonts w:hint="eastAsia" w:cs="Times New Roman" w:asciiTheme="minorEastAsia" w:hAnsiTheme="minorEastAsia"/>
          <w:color w:val="000000"/>
          <w:sz w:val="24"/>
          <w:szCs w:val="20"/>
          <w:lang w:eastAsia="zh-CN"/>
        </w:rPr>
        <w:t>、</w:t>
      </w:r>
      <w:r>
        <w:rPr>
          <w:rFonts w:hint="eastAsia" w:cs="Times New Roman" w:asciiTheme="minorEastAsia" w:hAnsiTheme="minorEastAsia"/>
          <w:color w:val="000000"/>
          <w:sz w:val="24"/>
          <w:szCs w:val="20"/>
        </w:rPr>
        <w:t>园林景观工程</w:t>
      </w:r>
      <w:r>
        <w:rPr>
          <w:rFonts w:hint="eastAsia" w:cs="Times New Roman" w:asciiTheme="minorEastAsia" w:hAnsiTheme="minorEastAsia"/>
          <w:color w:val="000000"/>
          <w:sz w:val="24"/>
          <w:szCs w:val="20"/>
          <w:lang w:eastAsia="zh-CN"/>
        </w:rPr>
        <w:t>及照明工程</w:t>
      </w:r>
      <w:r>
        <w:rPr>
          <w:rFonts w:hint="eastAsia" w:cs="Times New Roman" w:asciiTheme="minorEastAsia" w:hAnsiTheme="minorEastAsia"/>
          <w:color w:val="000000"/>
          <w:sz w:val="24"/>
          <w:szCs w:val="20"/>
        </w:rPr>
        <w:t>，详见其他专业图册。</w:t>
      </w:r>
    </w:p>
    <w:p w14:paraId="7E4DA56E">
      <w:pPr>
        <w:pStyle w:val="5"/>
        <w:spacing w:line="360" w:lineRule="auto"/>
        <w:ind w:firstLine="480"/>
        <w:rPr>
          <w:rFonts w:hint="eastAsia" w:cs="Times New Roman" w:asciiTheme="minorEastAsia" w:hAnsiTheme="minorEastAsia"/>
          <w:color w:val="000000"/>
          <w:sz w:val="24"/>
          <w:szCs w:val="20"/>
          <w:lang w:eastAsia="zh-CN"/>
        </w:rPr>
      </w:pPr>
      <w:r>
        <w:rPr>
          <w:rFonts w:hint="eastAsia" w:cs="Times New Roman" w:asciiTheme="minorEastAsia" w:hAnsiTheme="minorEastAsia"/>
          <w:color w:val="000000"/>
          <w:sz w:val="24"/>
          <w:szCs w:val="20"/>
          <w:lang w:eastAsia="zh-CN"/>
        </w:rPr>
        <w:t>本次设计道路为增城区中新镇慈岭村长岭社及公岭社两个安置区的内部道路。</w:t>
      </w:r>
    </w:p>
    <w:p w14:paraId="3A303AA4">
      <w:pPr>
        <w:pStyle w:val="5"/>
        <w:spacing w:line="360" w:lineRule="auto"/>
        <w:ind w:firstLine="480"/>
        <w:rPr>
          <w:rFonts w:hint="default" w:cs="Times New Roman" w:asciiTheme="minorEastAsia" w:hAnsiTheme="minorEastAsia"/>
          <w:color w:val="000000"/>
          <w:sz w:val="24"/>
          <w:szCs w:val="20"/>
          <w:lang w:val="en-US" w:eastAsia="zh-CN"/>
        </w:rPr>
      </w:pPr>
      <w:r>
        <w:rPr>
          <w:rFonts w:hint="eastAsia" w:cs="Times New Roman" w:asciiTheme="minorEastAsia" w:hAnsiTheme="minorEastAsia"/>
          <w:color w:val="000000"/>
          <w:sz w:val="24"/>
          <w:szCs w:val="20"/>
          <w:lang w:eastAsia="zh-CN"/>
        </w:rPr>
        <w:t>长岭社安置区位于规划站前路南侧，铁路货运增城西货场位于站前路北侧。由于规划站前路尚未实施，现通往长岭社安置区的道路为</w:t>
      </w:r>
      <w:r>
        <w:rPr>
          <w:rFonts w:hint="eastAsia" w:cs="Times New Roman" w:asciiTheme="minorEastAsia" w:hAnsiTheme="minorEastAsia"/>
          <w:color w:val="000000"/>
          <w:sz w:val="24"/>
          <w:szCs w:val="20"/>
          <w:lang w:val="en-US" w:eastAsia="zh-CN"/>
        </w:rPr>
        <w:t>4~5m宽土路，为方便长岭社安置区居民出行，本次设计按照现状土路的平面线型，设置5m宽临时道路进入该安置区，待规划站前路建设完成后重新设计接入站前路。由于长岭社安置区现状建筑主体已建成，且每排建筑之间存在1.0~2.0m的高差，本次设计该安置区道路根据现有条件，设置净宽为5m的基地内部道路，纵断面设计根据现状建筑首层室内标高结合现状路面标高进行优化调整。</w:t>
      </w:r>
    </w:p>
    <w:p w14:paraId="0392F7DB">
      <w:pPr>
        <w:pStyle w:val="5"/>
        <w:spacing w:line="360" w:lineRule="auto"/>
        <w:ind w:left="0" w:leftChars="0" w:firstLine="0" w:firstLineChars="0"/>
        <w:rPr>
          <w:rFonts w:hint="default" w:cs="Times New Roman" w:asciiTheme="minorEastAsia" w:hAnsiTheme="minorEastAsia"/>
          <w:color w:val="000000"/>
          <w:sz w:val="24"/>
          <w:szCs w:val="20"/>
          <w:lang w:val="en-US" w:eastAsia="zh-CN"/>
        </w:rPr>
      </w:pPr>
      <w:r>
        <w:rPr>
          <w:rFonts w:hint="default" w:cs="Times New Roman" w:asciiTheme="minorEastAsia" w:hAnsiTheme="minorEastAsia"/>
          <w:color w:val="000000"/>
          <w:sz w:val="24"/>
          <w:szCs w:val="20"/>
          <w:lang w:val="en-US" w:eastAsia="zh-CN"/>
        </w:rPr>
        <w:drawing>
          <wp:inline distT="0" distB="0" distL="114300" distR="114300">
            <wp:extent cx="4312285" cy="3077845"/>
            <wp:effectExtent l="0" t="0" r="12065" b="8255"/>
            <wp:docPr id="3" name="图片 3" descr="IMG_20231020_15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31020_152939"/>
                    <pic:cNvPicPr>
                      <a:picLocks noChangeAspect="1"/>
                    </pic:cNvPicPr>
                  </pic:nvPicPr>
                  <pic:blipFill>
                    <a:blip r:embed="rId5"/>
                    <a:srcRect l="5354"/>
                    <a:stretch>
                      <a:fillRect/>
                    </a:stretch>
                  </pic:blipFill>
                  <pic:spPr>
                    <a:xfrm>
                      <a:off x="0" y="0"/>
                      <a:ext cx="4312285" cy="3077845"/>
                    </a:xfrm>
                    <a:prstGeom prst="rect">
                      <a:avLst/>
                    </a:prstGeom>
                  </pic:spPr>
                </pic:pic>
              </a:graphicData>
            </a:graphic>
          </wp:inline>
        </w:drawing>
      </w:r>
      <w:r>
        <w:rPr>
          <w:rFonts w:hint="eastAsia" w:cs="Times New Roman" w:asciiTheme="minorEastAsia" w:hAnsiTheme="minorEastAsia"/>
          <w:color w:val="000000"/>
          <w:sz w:val="24"/>
          <w:szCs w:val="20"/>
          <w:lang w:val="en-US" w:eastAsia="zh-CN"/>
        </w:rPr>
        <w:t xml:space="preserve"> </w:t>
      </w:r>
      <w:r>
        <w:rPr>
          <w:rFonts w:hint="default" w:cs="Times New Roman" w:asciiTheme="minorEastAsia" w:hAnsiTheme="minorEastAsia"/>
          <w:color w:val="000000"/>
          <w:sz w:val="24"/>
          <w:szCs w:val="20"/>
          <w:lang w:val="en-US" w:eastAsia="zh-CN"/>
        </w:rPr>
        <w:drawing>
          <wp:inline distT="0" distB="0" distL="114300" distR="114300">
            <wp:extent cx="4125595" cy="3094990"/>
            <wp:effectExtent l="0" t="0" r="8255" b="10160"/>
            <wp:docPr id="1" name="图片 1" descr="IMG_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3666"/>
                    <pic:cNvPicPr>
                      <a:picLocks noChangeAspect="1"/>
                    </pic:cNvPicPr>
                  </pic:nvPicPr>
                  <pic:blipFill>
                    <a:blip r:embed="rId6"/>
                    <a:stretch>
                      <a:fillRect/>
                    </a:stretch>
                  </pic:blipFill>
                  <pic:spPr>
                    <a:xfrm>
                      <a:off x="0" y="0"/>
                      <a:ext cx="4125595" cy="3094990"/>
                    </a:xfrm>
                    <a:prstGeom prst="rect">
                      <a:avLst/>
                    </a:prstGeom>
                  </pic:spPr>
                </pic:pic>
              </a:graphicData>
            </a:graphic>
          </wp:inline>
        </w:drawing>
      </w:r>
    </w:p>
    <w:p w14:paraId="2ACF8372">
      <w:pPr>
        <w:pStyle w:val="5"/>
        <w:spacing w:line="360" w:lineRule="auto"/>
        <w:ind w:firstLine="2168" w:firstLineChars="900"/>
        <w:rPr>
          <w:rFonts w:hint="default" w:cs="Times New Roman" w:asciiTheme="minorEastAsia" w:hAnsiTheme="minorEastAsia"/>
          <w:b/>
          <w:bCs/>
          <w:color w:val="000000"/>
          <w:sz w:val="24"/>
          <w:szCs w:val="20"/>
          <w:lang w:val="en-US" w:eastAsia="zh-CN"/>
        </w:rPr>
      </w:pPr>
      <w:r>
        <w:rPr>
          <w:rFonts w:hint="eastAsia" w:cs="Times New Roman" w:asciiTheme="minorEastAsia" w:hAnsiTheme="minorEastAsia"/>
          <w:b/>
          <w:bCs/>
          <w:color w:val="000000"/>
          <w:sz w:val="24"/>
          <w:szCs w:val="20"/>
          <w:lang w:val="en-US" w:eastAsia="zh-CN"/>
        </w:rPr>
        <w:t>长岭社安置区出入口路面                                   长岭社安置区内部土路面</w:t>
      </w:r>
    </w:p>
    <w:p w14:paraId="2B59F271">
      <w:pPr>
        <w:pStyle w:val="5"/>
        <w:spacing w:line="360" w:lineRule="auto"/>
        <w:ind w:firstLine="480"/>
        <w:rPr>
          <w:rFonts w:hint="eastAsia" w:cs="Times New Roman" w:asciiTheme="minorEastAsia" w:hAnsiTheme="minorEastAsia"/>
          <w:color w:val="000000"/>
          <w:sz w:val="24"/>
          <w:szCs w:val="20"/>
          <w:lang w:val="en-US" w:eastAsia="zh-CN"/>
        </w:rPr>
      </w:pPr>
      <w:r>
        <w:rPr>
          <w:rFonts w:hint="eastAsia" w:cs="Times New Roman" w:asciiTheme="minorEastAsia" w:hAnsiTheme="minorEastAsia"/>
          <w:color w:val="000000"/>
          <w:sz w:val="24"/>
          <w:szCs w:val="20"/>
          <w:lang w:val="en-US" w:eastAsia="zh-CN"/>
        </w:rPr>
        <w:t>公岭社安置区位于希音地块东南侧，规划横一路北侧，规划纬二路西侧。现出入该安置区道路仅有东侧5m宽一条村道。由于公岭社安置区现状建筑主体已建成，该安置区路段村道与地块内道路出入口存在高差，为协调并优化该路段，本次设计将部分现状村道路面进行提升，以保障该路段顺接安置区出入口。公岭社每排建筑之间存在1.0~2.0m的高差，本次设计该安置区道路根据现有条件，设置5m宽基地内道路，纵断面设计根据现状建筑首层室内标高结合现状路面标高进行优化调</w:t>
      </w:r>
      <w:r>
        <w:rPr>
          <w:rFonts w:hint="eastAsia" w:asciiTheme="minorEastAsia" w:hAnsiTheme="minorEastAsia"/>
          <w:kern w:val="0"/>
          <w:sz w:val="24"/>
          <w:lang w:val="zh-CN" w:eastAsia="zh-CN"/>
        </w:rPr>
        <mc:AlternateContent>
          <mc:Choice Requires="wps">
            <w:drawing>
              <wp:anchor distT="0" distB="0" distL="114300" distR="114300" simplePos="0" relativeHeight="251665408" behindDoc="0" locked="0" layoutInCell="1" allowOverlap="1">
                <wp:simplePos x="0" y="0"/>
                <wp:positionH relativeFrom="column">
                  <wp:posOffset>17479645</wp:posOffset>
                </wp:positionH>
                <wp:positionV relativeFrom="paragraph">
                  <wp:posOffset>4385310</wp:posOffset>
                </wp:positionV>
                <wp:extent cx="648970" cy="485140"/>
                <wp:effectExtent l="0" t="0" r="0" b="0"/>
                <wp:wrapNone/>
                <wp:docPr id="31" name="矩形 31"/>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DAB2423">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76.35pt;margin-top:345.3pt;height:38.2pt;width:51.1pt;z-index:251665408;v-text-anchor:middle;mso-width-relative:page;mso-height-relative:page;" filled="f" stroked="f" coordsize="21600,21600" o:gfxdata="UEsDBAoAAAAAAIdO4kAAAAAAAAAAAAAAAAAEAAAAZHJzL1BLAwQUAAAACACHTuJAW+LsD9wAAAAN&#10;AQAADwAAAGRycy9kb3ducmV2LnhtbE2PQU+DQBCF7yb+h82YeLO7JS20lKFpjJr0aDEx3haYAsrO&#10;EnZL23/veqrHyfvy3jfZ9mJ6MdHoOssI85kCQVzZuuMG4aN4fVqBcF5zrXvLhHAlB9v8/i7TaW3P&#10;/E7TwTcilLBLNULr/ZBK6aqWjHYzOxCH7GhHo304x0bWoz6HctPLSKlYGt1xWGj1QM8tVT+Hk0Fw&#10;5bQvrsPu8/vLVeXuhU2x2L8hPj7M1QaEp4u/wfCnH9QhD06lPXHtRI8QJcsoCSxCvFYxiIBEq+Vi&#10;DaJESOJEgcwz+f+L/BdQSwMEFAAAAAgAh07iQAPgo8JSAgAAlwQAAA4AAABkcnMvZTJvRG9jLnht&#10;bK1US27bMBDdF+gdCO4b2a7zMyIHRowUBYImQFp0TVOkRYC/krTl9DIFuushepyi1+gjpThG2kUW&#10;3UgznNGbeW+GurjcGU22IkTlbE3HRyNKhOWuUXZd008fr9+cURITsw3TzoqaPohIL+evX110fiYm&#10;rnW6EYEAxMZZ52vapuRnVRV5KwyLR84Li6B0wbAEN6yrJrAO6EZXk9HopOpcaHxwXMSI02UfpANi&#10;eAmgk1JxsXR8Y4RNPWoQmiVQiq3ykc5Lt1IKnm6ljCIRXVMwTeWJIrBX+VnNL9hsHZhvFR9aYC9p&#10;4Rknw5RF0T3UkiVGNkH9BWUUDy46mY64M1VPpCgCFuPRM23uW+ZF4QKpo9+LHv8fLP+wvQtENTV9&#10;O6bEMoOJ//7249fP7wQHUKfzcYake38XBi/CzFR3Mpj8BgmyK4o+7BUVu0Q4Dk+mZ+en0JojND07&#10;Hk+L4tXTxz7E9E44Q7JR04CBFR3Z9iYmFETqY0quZd210roMTVvS1XRyPB1lfIZNlNgAmMaDTbRr&#10;SpheY8V5CgXy4NsMuWSxJVuGvYhOqyZzRTFt8cqce5bZSrvVbqC+cs0D5Aqu36Po+bUC1A2L6Y4F&#10;LA5awdVKt3hI7dCfGyxKWhe+/us852OeiFLSYRHRz5cNC4IS/d5i0ufjKVQjqTjT49MJnHAYWR1G&#10;7MZcOXDCMNFdMXN+0o+mDM58xg1c5KoIMctRu1dpcK5Sf0Fwh7lYLEoattWzdGPvPc/g/SwWm+Sk&#10;KmPKQvXqDPphX4ugw93KF+LQL1lP/5P5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Fvi7A/cAAAA&#10;DQEAAA8AAAAAAAAAAQAgAAAAIgAAAGRycy9kb3ducmV2LnhtbFBLAQIUABQAAAAIAIdO4kAD4KPC&#10;UgIAAJcEAAAOAAAAAAAAAAEAIAAAACsBAABkcnMvZTJvRG9jLnhtbFBLBQYAAAAABgAGAFkBAADv&#10;BQAAAAA=&#10;">
                <v:fill on="f" focussize="0,0"/>
                <v:stroke on="f" weight="2pt"/>
                <v:imagedata o:title=""/>
                <o:lock v:ext="edit" aspectratio="f"/>
                <v:textbox>
                  <w:txbxContent>
                    <w:p w14:paraId="0DAB2423">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r>
        <w:rPr>
          <w:rFonts w:hint="eastAsia" w:cs="Times New Roman" w:asciiTheme="minorEastAsia" w:hAnsiTheme="minorEastAsia"/>
          <w:color w:val="000000"/>
          <w:sz w:val="24"/>
          <w:szCs w:val="20"/>
          <w:lang w:val="en-US" w:eastAsia="zh-CN"/>
        </w:rPr>
        <w:t>整。</w:t>
      </w:r>
    </w:p>
    <w:p w14:paraId="5A2FEE55">
      <w:pPr>
        <w:pStyle w:val="5"/>
        <w:spacing w:line="360" w:lineRule="auto"/>
        <w:ind w:left="0" w:leftChars="0" w:firstLine="0" w:firstLineChars="0"/>
        <w:rPr>
          <w:rFonts w:hint="default" w:cs="Times New Roman" w:asciiTheme="minorEastAsia" w:hAnsiTheme="minorEastAsia"/>
          <w:color w:val="000000"/>
          <w:sz w:val="24"/>
          <w:szCs w:val="20"/>
          <w:lang w:val="en-US" w:eastAsia="zh-CN"/>
        </w:rPr>
      </w:pPr>
      <w:r>
        <w:rPr>
          <w:rFonts w:hint="default" w:cs="Times New Roman" w:asciiTheme="minorEastAsia" w:hAnsiTheme="minorEastAsia"/>
          <w:color w:val="000000"/>
          <w:sz w:val="24"/>
          <w:szCs w:val="20"/>
          <w:lang w:val="en-US" w:eastAsia="zh-CN"/>
        </w:rPr>
        <w:drawing>
          <wp:inline distT="0" distB="0" distL="114300" distR="114300">
            <wp:extent cx="4121150" cy="3302000"/>
            <wp:effectExtent l="0" t="0" r="12700" b="12700"/>
            <wp:docPr id="4" name="图片 4" descr="IMG_20231020_16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0231020_160354"/>
                    <pic:cNvPicPr>
                      <a:picLocks noChangeAspect="1"/>
                    </pic:cNvPicPr>
                  </pic:nvPicPr>
                  <pic:blipFill>
                    <a:blip r:embed="rId7"/>
                    <a:srcRect l="15732"/>
                    <a:stretch>
                      <a:fillRect/>
                    </a:stretch>
                  </pic:blipFill>
                  <pic:spPr>
                    <a:xfrm>
                      <a:off x="0" y="0"/>
                      <a:ext cx="4121150" cy="3302000"/>
                    </a:xfrm>
                    <a:prstGeom prst="rect">
                      <a:avLst/>
                    </a:prstGeom>
                  </pic:spPr>
                </pic:pic>
              </a:graphicData>
            </a:graphic>
          </wp:inline>
        </w:drawing>
      </w:r>
      <w:r>
        <w:rPr>
          <w:rFonts w:hint="eastAsia" w:cs="Times New Roman" w:asciiTheme="minorEastAsia" w:hAnsiTheme="minorEastAsia"/>
          <w:color w:val="000000"/>
          <w:sz w:val="24"/>
          <w:szCs w:val="20"/>
          <w:lang w:val="en-US" w:eastAsia="zh-CN"/>
        </w:rPr>
        <w:t xml:space="preserve"> </w:t>
      </w:r>
      <w:r>
        <w:rPr>
          <w:rFonts w:hint="default" w:cs="Times New Roman" w:asciiTheme="minorEastAsia" w:hAnsiTheme="minorEastAsia"/>
          <w:color w:val="000000"/>
          <w:sz w:val="24"/>
          <w:szCs w:val="20"/>
          <w:lang w:val="en-US" w:eastAsia="zh-CN"/>
        </w:rPr>
        <w:drawing>
          <wp:inline distT="0" distB="0" distL="114300" distR="114300">
            <wp:extent cx="4395470" cy="3296920"/>
            <wp:effectExtent l="0" t="0" r="5080" b="17780"/>
            <wp:docPr id="5" name="图片 5" descr="IMG_20231020_15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0231020_155601"/>
                    <pic:cNvPicPr>
                      <a:picLocks noChangeAspect="1"/>
                    </pic:cNvPicPr>
                  </pic:nvPicPr>
                  <pic:blipFill>
                    <a:blip r:embed="rId8"/>
                    <a:stretch>
                      <a:fillRect/>
                    </a:stretch>
                  </pic:blipFill>
                  <pic:spPr>
                    <a:xfrm>
                      <a:off x="0" y="0"/>
                      <a:ext cx="4395470" cy="3296920"/>
                    </a:xfrm>
                    <a:prstGeom prst="rect">
                      <a:avLst/>
                    </a:prstGeom>
                  </pic:spPr>
                </pic:pic>
              </a:graphicData>
            </a:graphic>
          </wp:inline>
        </w:drawing>
      </w:r>
    </w:p>
    <w:p w14:paraId="357E9446">
      <w:pPr>
        <w:pStyle w:val="5"/>
        <w:spacing w:line="360" w:lineRule="auto"/>
        <w:ind w:left="0" w:leftChars="0" w:firstLine="2168" w:firstLineChars="900"/>
        <w:rPr>
          <w:rFonts w:hint="default" w:cs="Times New Roman" w:asciiTheme="minorEastAsia" w:hAnsiTheme="minorEastAsia"/>
          <w:color w:val="000000"/>
          <w:sz w:val="24"/>
          <w:szCs w:val="20"/>
          <w:lang w:val="en-US" w:eastAsia="zh-CN"/>
        </w:rPr>
      </w:pPr>
      <w:r>
        <w:rPr>
          <w:rFonts w:hint="eastAsia" w:cs="Times New Roman" w:asciiTheme="minorEastAsia" w:hAnsiTheme="minorEastAsia"/>
          <w:b/>
          <w:bCs/>
          <w:color w:val="000000"/>
          <w:sz w:val="24"/>
          <w:szCs w:val="20"/>
          <w:lang w:val="en-US" w:eastAsia="zh-CN"/>
        </w:rPr>
        <w:t>公岭社安置区内部土路面                                  公岭社安置区现场情况</w:t>
      </w:r>
    </w:p>
    <w:p w14:paraId="5D8D374F">
      <w:pPr>
        <w:pStyle w:val="5"/>
        <w:spacing w:line="360" w:lineRule="auto"/>
        <w:ind w:firstLine="480"/>
        <w:rPr>
          <w:rFonts w:cs="Times New Roman" w:asciiTheme="minorEastAsia" w:hAnsiTheme="minorEastAsia"/>
          <w:sz w:val="24"/>
          <w:szCs w:val="20"/>
        </w:rPr>
      </w:pPr>
      <w:r>
        <w:rPr>
          <w:rFonts w:hint="eastAsia" w:cs="Times New Roman" w:asciiTheme="minorEastAsia" w:hAnsiTheme="minorEastAsia"/>
          <w:color w:val="000000"/>
          <w:sz w:val="24"/>
          <w:szCs w:val="20"/>
        </w:rPr>
        <w:t>本次设计道路</w:t>
      </w:r>
      <w:r>
        <w:rPr>
          <w:rFonts w:hint="eastAsia" w:cs="Times New Roman" w:asciiTheme="minorEastAsia" w:hAnsiTheme="minorEastAsia"/>
          <w:sz w:val="24"/>
          <w:szCs w:val="20"/>
        </w:rPr>
        <w:t>全长</w:t>
      </w:r>
      <w:r>
        <w:rPr>
          <w:rFonts w:hint="eastAsia" w:cs="Times New Roman" w:asciiTheme="minorEastAsia" w:hAnsiTheme="minorEastAsia"/>
          <w:sz w:val="24"/>
          <w:szCs w:val="20"/>
          <w:lang w:val="en-US" w:eastAsia="zh-CN"/>
        </w:rPr>
        <w:t>1995.898</w:t>
      </w:r>
      <w:r>
        <w:rPr>
          <w:rFonts w:hint="eastAsia" w:cs="Times New Roman" w:asciiTheme="minorEastAsia" w:hAnsiTheme="minorEastAsia"/>
          <w:sz w:val="24"/>
          <w:szCs w:val="20"/>
        </w:rPr>
        <w:t>m，</w:t>
      </w:r>
      <w:r>
        <w:rPr>
          <w:rFonts w:hint="eastAsia" w:cs="Times New Roman" w:asciiTheme="minorEastAsia" w:hAnsiTheme="minorEastAsia"/>
          <w:b/>
          <w:bCs/>
          <w:sz w:val="24"/>
          <w:szCs w:val="20"/>
        </w:rPr>
        <w:t>共有</w:t>
      </w:r>
      <w:r>
        <w:rPr>
          <w:rFonts w:hint="eastAsia" w:cs="Times New Roman" w:asciiTheme="minorEastAsia" w:hAnsiTheme="minorEastAsia"/>
          <w:b/>
          <w:bCs/>
          <w:sz w:val="24"/>
          <w:szCs w:val="20"/>
          <w:lang w:val="en-US" w:eastAsia="zh-CN"/>
        </w:rPr>
        <w:t>11</w:t>
      </w:r>
      <w:r>
        <w:rPr>
          <w:rFonts w:hint="eastAsia" w:cs="Times New Roman" w:asciiTheme="minorEastAsia" w:hAnsiTheme="minorEastAsia"/>
          <w:b/>
          <w:bCs/>
          <w:sz w:val="24"/>
          <w:szCs w:val="20"/>
        </w:rPr>
        <w:t>条道路</w:t>
      </w:r>
      <w:r>
        <w:rPr>
          <w:rFonts w:hint="eastAsia" w:cs="Times New Roman" w:asciiTheme="minorEastAsia" w:hAnsiTheme="minorEastAsia"/>
          <w:sz w:val="24"/>
          <w:szCs w:val="20"/>
        </w:rPr>
        <w:t>，</w:t>
      </w:r>
      <w:r>
        <w:rPr>
          <w:rFonts w:hint="eastAsia" w:cs="Times New Roman" w:asciiTheme="minorEastAsia" w:hAnsiTheme="minorEastAsia"/>
          <w:sz w:val="24"/>
          <w:szCs w:val="20"/>
          <w:lang w:eastAsia="zh-CN"/>
        </w:rPr>
        <w:t>涉及长岭社、公岭社两个合作社，</w:t>
      </w:r>
      <w:r>
        <w:rPr>
          <w:rFonts w:hint="eastAsia" w:cs="Times New Roman" w:asciiTheme="minorEastAsia" w:hAnsiTheme="minorEastAsia"/>
          <w:sz w:val="24"/>
          <w:szCs w:val="20"/>
        </w:rPr>
        <w:t>其中</w:t>
      </w:r>
      <w:r>
        <w:rPr>
          <w:rFonts w:hint="eastAsia" w:cs="Times New Roman" w:asciiTheme="minorEastAsia" w:hAnsiTheme="minorEastAsia"/>
          <w:b/>
          <w:bCs/>
          <w:sz w:val="24"/>
          <w:szCs w:val="20"/>
          <w:lang w:val="en-US" w:eastAsia="zh-CN"/>
        </w:rPr>
        <w:t>AK~EK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为长岭社安置区内部道路、</w:t>
      </w:r>
      <w:r>
        <w:rPr>
          <w:rFonts w:hint="eastAsia" w:cs="Times New Roman" w:asciiTheme="minorEastAsia" w:hAnsiTheme="minorEastAsia"/>
          <w:b/>
          <w:bCs/>
          <w:sz w:val="24"/>
          <w:szCs w:val="20"/>
          <w:lang w:val="en-US" w:eastAsia="zh-CN"/>
        </w:rPr>
        <w:t>FK~KK道路为公岭社安置区内部道路。</w:t>
      </w:r>
      <w:r>
        <w:rPr>
          <w:rFonts w:hint="eastAsia" w:cs="Times New Roman" w:asciiTheme="minorEastAsia" w:hAnsiTheme="minorEastAsia"/>
          <w:sz w:val="24"/>
          <w:szCs w:val="20"/>
          <w:lang w:val="en-US" w:eastAsia="zh-CN"/>
        </w:rPr>
        <w:t>AK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273.323</w:t>
      </w:r>
      <w:r>
        <w:rPr>
          <w:rFonts w:hint="eastAsia" w:cs="Times New Roman" w:asciiTheme="minorEastAsia" w:hAnsiTheme="minorEastAsia"/>
          <w:sz w:val="24"/>
          <w:szCs w:val="20"/>
        </w:rPr>
        <w:t>m，</w:t>
      </w:r>
      <w:r>
        <w:rPr>
          <w:rFonts w:hint="eastAsia" w:cs="Times New Roman" w:asciiTheme="minorEastAsia" w:hAnsiTheme="minorEastAsia"/>
          <w:sz w:val="24"/>
          <w:szCs w:val="20"/>
          <w:lang w:eastAsia="zh-CN"/>
        </w:rPr>
        <w:t>大致</w:t>
      </w:r>
      <w:r>
        <w:rPr>
          <w:rFonts w:hint="eastAsia" w:cs="Times New Roman" w:asciiTheme="minorEastAsia" w:hAnsiTheme="minorEastAsia"/>
          <w:sz w:val="24"/>
          <w:szCs w:val="20"/>
        </w:rPr>
        <w:t>呈</w:t>
      </w:r>
      <w:r>
        <w:rPr>
          <w:rFonts w:hint="eastAsia" w:cs="Times New Roman" w:asciiTheme="minorEastAsia" w:hAnsiTheme="minorEastAsia"/>
          <w:sz w:val="24"/>
          <w:szCs w:val="20"/>
          <w:lang w:eastAsia="zh-CN"/>
        </w:rPr>
        <w:t>南</w:t>
      </w:r>
      <w:r>
        <w:rPr>
          <w:rFonts w:hint="eastAsia" w:cs="Times New Roman" w:asciiTheme="minorEastAsia" w:hAnsiTheme="minorEastAsia"/>
          <w:sz w:val="24"/>
          <w:szCs w:val="20"/>
        </w:rPr>
        <w:t>西</w:t>
      </w:r>
      <w:r>
        <w:rPr>
          <w:rFonts w:hint="eastAsia" w:cs="Times New Roman" w:asciiTheme="minorEastAsia" w:hAnsiTheme="minorEastAsia"/>
          <w:sz w:val="24"/>
          <w:szCs w:val="20"/>
          <w:lang w:eastAsia="zh-CN"/>
        </w:rPr>
        <w:t>北</w:t>
      </w:r>
      <w:r>
        <w:rPr>
          <w:rFonts w:hint="eastAsia" w:cs="Times New Roman" w:asciiTheme="minorEastAsia" w:hAnsiTheme="minorEastAsia"/>
          <w:sz w:val="24"/>
          <w:szCs w:val="20"/>
        </w:rPr>
        <w:t>向，</w:t>
      </w:r>
      <w:r>
        <w:rPr>
          <w:rFonts w:hint="eastAsia" w:cs="Times New Roman" w:asciiTheme="minorEastAsia" w:hAnsiTheme="minorEastAsia"/>
          <w:sz w:val="24"/>
          <w:szCs w:val="20"/>
          <w:lang w:val="en-US" w:eastAsia="zh-CN"/>
        </w:rPr>
        <w:t>BK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w:t>
      </w:r>
      <w:r>
        <w:rPr>
          <w:rFonts w:hint="eastAsia" w:cs="Times New Roman" w:asciiTheme="minorEastAsia" w:hAnsiTheme="minorEastAsia"/>
          <w:sz w:val="24"/>
          <w:szCs w:val="20"/>
          <w:lang w:val="en-US" w:eastAsia="zh-CN"/>
        </w:rPr>
        <w:t>CK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w:t>
      </w:r>
      <w:r>
        <w:rPr>
          <w:rFonts w:hint="eastAsia" w:cs="Times New Roman" w:asciiTheme="minorEastAsia" w:hAnsiTheme="minorEastAsia"/>
          <w:sz w:val="24"/>
          <w:szCs w:val="20"/>
          <w:lang w:val="en-US" w:eastAsia="zh-CN"/>
        </w:rPr>
        <w:t>DK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均</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133</w:t>
      </w:r>
      <w:r>
        <w:rPr>
          <w:rFonts w:hint="eastAsia" w:cs="Times New Roman" w:asciiTheme="minorEastAsia" w:hAnsiTheme="minorEastAsia"/>
          <w:sz w:val="24"/>
          <w:szCs w:val="20"/>
        </w:rPr>
        <w:t>m，大致呈东西走向；</w:t>
      </w:r>
      <w:r>
        <w:rPr>
          <w:rFonts w:hint="eastAsia" w:cs="Times New Roman" w:asciiTheme="minorEastAsia" w:hAnsiTheme="minorEastAsia"/>
          <w:sz w:val="24"/>
          <w:szCs w:val="20"/>
          <w:lang w:val="en-US" w:eastAsia="zh-CN"/>
        </w:rPr>
        <w:t>EK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40</w:t>
      </w:r>
      <w:r>
        <w:rPr>
          <w:rFonts w:hint="eastAsia" w:cs="Times New Roman" w:asciiTheme="minorEastAsia" w:hAnsiTheme="minorEastAsia"/>
          <w:sz w:val="24"/>
          <w:szCs w:val="20"/>
        </w:rPr>
        <w:t>m，</w:t>
      </w:r>
      <w:r>
        <w:rPr>
          <w:rFonts w:hint="eastAsia" w:cs="Times New Roman" w:asciiTheme="minorEastAsia" w:hAnsiTheme="minorEastAsia"/>
          <w:sz w:val="24"/>
          <w:szCs w:val="20"/>
          <w:lang w:eastAsia="zh-CN"/>
        </w:rPr>
        <w:t>大致</w:t>
      </w:r>
      <w:r>
        <w:rPr>
          <w:rFonts w:hint="eastAsia" w:cs="Times New Roman" w:asciiTheme="minorEastAsia" w:hAnsiTheme="minorEastAsia"/>
          <w:sz w:val="24"/>
          <w:szCs w:val="20"/>
        </w:rPr>
        <w:t>呈</w:t>
      </w:r>
      <w:r>
        <w:rPr>
          <w:rFonts w:hint="eastAsia" w:cs="Times New Roman" w:asciiTheme="minorEastAsia" w:hAnsiTheme="minorEastAsia"/>
          <w:sz w:val="24"/>
          <w:szCs w:val="20"/>
          <w:lang w:eastAsia="zh-CN"/>
        </w:rPr>
        <w:t>南</w:t>
      </w:r>
      <w:r>
        <w:rPr>
          <w:rFonts w:hint="eastAsia" w:cs="Times New Roman" w:asciiTheme="minorEastAsia" w:hAnsiTheme="minorEastAsia"/>
          <w:sz w:val="24"/>
          <w:szCs w:val="20"/>
        </w:rPr>
        <w:t>西</w:t>
      </w:r>
      <w:r>
        <w:rPr>
          <w:rFonts w:hint="eastAsia" w:cs="Times New Roman" w:asciiTheme="minorEastAsia" w:hAnsiTheme="minorEastAsia"/>
          <w:sz w:val="24"/>
          <w:szCs w:val="20"/>
          <w:lang w:eastAsia="zh-CN"/>
        </w:rPr>
        <w:t>北</w:t>
      </w:r>
      <w:r>
        <w:rPr>
          <w:rFonts w:hint="eastAsia" w:cs="Times New Roman" w:asciiTheme="minorEastAsia" w:hAnsiTheme="minorEastAsia"/>
          <w:sz w:val="24"/>
          <w:szCs w:val="20"/>
        </w:rPr>
        <w:t>向；</w:t>
      </w:r>
      <w:r>
        <w:rPr>
          <w:rFonts w:hint="eastAsia" w:cs="Times New Roman" w:asciiTheme="minorEastAsia" w:hAnsiTheme="minorEastAsia"/>
          <w:sz w:val="24"/>
          <w:szCs w:val="20"/>
          <w:lang w:val="en-US" w:eastAsia="zh-CN"/>
        </w:rPr>
        <w:t>FK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40.751</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南北</w:t>
      </w:r>
      <w:r>
        <w:rPr>
          <w:rFonts w:hint="eastAsia" w:cs="Times New Roman" w:asciiTheme="minorEastAsia" w:hAnsiTheme="minorEastAsia"/>
          <w:sz w:val="24"/>
          <w:szCs w:val="20"/>
        </w:rPr>
        <w:t>走向；</w:t>
      </w:r>
      <w:r>
        <w:rPr>
          <w:rFonts w:hint="eastAsia" w:cs="Times New Roman" w:asciiTheme="minorEastAsia" w:hAnsiTheme="minorEastAsia"/>
          <w:sz w:val="24"/>
          <w:szCs w:val="20"/>
          <w:lang w:val="en-US" w:eastAsia="zh-CN"/>
        </w:rPr>
        <w:t>GK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280.204</w:t>
      </w:r>
      <w:r>
        <w:rPr>
          <w:rFonts w:hint="eastAsia" w:cs="Times New Roman" w:asciiTheme="minorEastAsia" w:hAnsiTheme="minorEastAsia"/>
          <w:sz w:val="24"/>
          <w:szCs w:val="20"/>
        </w:rPr>
        <w:t>m，大致呈东西走向；</w:t>
      </w:r>
      <w:r>
        <w:rPr>
          <w:rFonts w:hint="eastAsia" w:cs="Times New Roman" w:asciiTheme="minorEastAsia" w:hAnsiTheme="minorEastAsia"/>
          <w:sz w:val="24"/>
          <w:szCs w:val="20"/>
          <w:lang w:val="en-US" w:eastAsia="zh-CN"/>
        </w:rPr>
        <w:t>HK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182.987</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东西</w:t>
      </w:r>
      <w:r>
        <w:rPr>
          <w:rFonts w:hint="eastAsia" w:cs="Times New Roman" w:asciiTheme="minorEastAsia" w:hAnsiTheme="minorEastAsia"/>
          <w:sz w:val="24"/>
          <w:szCs w:val="20"/>
        </w:rPr>
        <w:t>走向；</w:t>
      </w:r>
      <w:r>
        <w:rPr>
          <w:rFonts w:hint="eastAsia" w:cs="Times New Roman" w:asciiTheme="minorEastAsia" w:hAnsiTheme="minorEastAsia"/>
          <w:b/>
          <w:sz w:val="24"/>
          <w:szCs w:val="20"/>
          <w:lang w:val="en-US" w:eastAsia="zh-CN"/>
        </w:rPr>
        <w:t>IK道路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457.732</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环形道路；</w:t>
      </w:r>
      <w:r>
        <w:rPr>
          <w:rFonts w:hint="eastAsia" w:cs="Times New Roman" w:asciiTheme="minorEastAsia" w:hAnsiTheme="minorEastAsia"/>
          <w:b/>
          <w:bCs/>
          <w:sz w:val="24"/>
          <w:szCs w:val="20"/>
          <w:lang w:val="en-US" w:eastAsia="zh-CN"/>
        </w:rPr>
        <w:t>JK道路</w:t>
      </w:r>
      <w:r>
        <w:rPr>
          <w:rFonts w:hint="eastAsia" w:cs="Times New Roman" w:asciiTheme="minorEastAsia" w:hAnsiTheme="minorEastAsia"/>
          <w:b w:val="0"/>
          <w:bCs w:val="0"/>
          <w:sz w:val="24"/>
          <w:szCs w:val="20"/>
          <w:lang w:val="en-US" w:eastAsia="zh-CN"/>
        </w:rPr>
        <w:t>长189.879m，大致呈东西走向</w:t>
      </w:r>
      <w:r>
        <w:rPr>
          <w:rFonts w:hint="eastAsia" w:cs="Times New Roman" w:asciiTheme="minorEastAsia" w:hAnsiTheme="minorEastAsia"/>
          <w:sz w:val="24"/>
          <w:szCs w:val="20"/>
          <w:lang w:val="en-US" w:eastAsia="zh-CN"/>
        </w:rPr>
        <w:t>；</w:t>
      </w:r>
      <w:r>
        <w:rPr>
          <w:rFonts w:hint="eastAsia" w:cs="Times New Roman" w:asciiTheme="minorEastAsia" w:hAnsiTheme="minorEastAsia"/>
          <w:b/>
          <w:bCs/>
          <w:sz w:val="24"/>
          <w:szCs w:val="20"/>
          <w:lang w:val="en-US" w:eastAsia="zh-CN"/>
        </w:rPr>
        <w:t>KK道路</w:t>
      </w:r>
      <w:r>
        <w:rPr>
          <w:rFonts w:hint="eastAsia" w:cs="Times New Roman" w:asciiTheme="minorEastAsia" w:hAnsiTheme="minorEastAsia"/>
          <w:b w:val="0"/>
          <w:bCs w:val="0"/>
          <w:sz w:val="24"/>
          <w:szCs w:val="20"/>
          <w:lang w:val="en-US" w:eastAsia="zh-CN"/>
        </w:rPr>
        <w:t>长132.022m，大致呈东西走向。</w:t>
      </w:r>
      <w:r>
        <w:rPr>
          <w:rFonts w:hint="eastAsia" w:cs="Times New Roman" w:asciiTheme="minorEastAsia" w:hAnsiTheme="minorEastAsia"/>
          <w:sz w:val="24"/>
          <w:szCs w:val="20"/>
          <w:lang w:val="en-US" w:eastAsia="zh-CN"/>
        </w:rPr>
        <w:t>由于</w:t>
      </w:r>
      <w:r>
        <w:rPr>
          <w:rFonts w:hint="eastAsia" w:cs="Times New Roman" w:asciiTheme="minorEastAsia" w:hAnsiTheme="minorEastAsia"/>
          <w:sz w:val="24"/>
          <w:szCs w:val="20"/>
          <w:lang w:eastAsia="zh-CN"/>
        </w:rPr>
        <w:t>本项目为安置区内部道路，安置区建筑主体现已建成，受用地及现状建筑限制，本次设计所有道路</w:t>
      </w:r>
      <w:r>
        <w:rPr>
          <w:rFonts w:hint="eastAsia" w:cs="Times New Roman" w:asciiTheme="minorEastAsia" w:hAnsiTheme="minorEastAsia"/>
          <w:sz w:val="24"/>
          <w:szCs w:val="20"/>
        </w:rPr>
        <w:t>宽</w:t>
      </w:r>
      <w:r>
        <w:rPr>
          <w:rFonts w:hint="eastAsia" w:cs="Times New Roman" w:asciiTheme="minorEastAsia" w:hAnsiTheme="minorEastAsia"/>
          <w:sz w:val="24"/>
          <w:szCs w:val="20"/>
          <w:lang w:eastAsia="zh-CN"/>
        </w:rPr>
        <w:t>度均</w:t>
      </w:r>
      <w:r>
        <w:rPr>
          <w:rFonts w:hint="eastAsia" w:cs="Times New Roman" w:asciiTheme="minorEastAsia" w:hAnsiTheme="minorEastAsia"/>
          <w:sz w:val="24"/>
          <w:szCs w:val="20"/>
        </w:rPr>
        <w:t>为</w:t>
      </w:r>
      <w:r>
        <w:rPr>
          <w:rFonts w:hint="eastAsia" w:cs="Times New Roman" w:asciiTheme="minorEastAsia" w:hAnsiTheme="minorEastAsia"/>
          <w:sz w:val="24"/>
          <w:szCs w:val="20"/>
          <w:lang w:val="en-US" w:eastAsia="zh-CN"/>
        </w:rPr>
        <w:t>5.0</w:t>
      </w:r>
      <w:r>
        <w:rPr>
          <w:rFonts w:hint="eastAsia" w:cs="Times New Roman" w:asciiTheme="minorEastAsia" w:hAnsiTheme="minorEastAsia"/>
          <w:sz w:val="24"/>
          <w:szCs w:val="20"/>
        </w:rPr>
        <w:t>m；</w:t>
      </w:r>
      <w:r>
        <w:rPr>
          <w:rFonts w:hint="eastAsia" w:cs="Times New Roman" w:asciiTheme="minorEastAsia" w:hAnsiTheme="minorEastAsia"/>
          <w:b/>
          <w:sz w:val="24"/>
          <w:szCs w:val="20"/>
        </w:rPr>
        <w:t>本项目道路</w:t>
      </w:r>
      <w:r>
        <w:rPr>
          <w:rFonts w:hint="eastAsia" w:cs="Times New Roman" w:asciiTheme="minorEastAsia" w:hAnsiTheme="minorEastAsia"/>
          <w:b/>
          <w:sz w:val="24"/>
          <w:szCs w:val="20"/>
          <w:lang w:val="en-US" w:eastAsia="zh-CN"/>
        </w:rPr>
        <w:t>等级</w:t>
      </w:r>
      <w:r>
        <w:rPr>
          <w:rFonts w:hint="eastAsia" w:cs="Times New Roman" w:asciiTheme="minorEastAsia" w:hAnsiTheme="minorEastAsia"/>
          <w:b/>
          <w:sz w:val="24"/>
          <w:szCs w:val="20"/>
        </w:rPr>
        <w:t>为</w:t>
      </w:r>
      <w:r>
        <w:rPr>
          <w:rFonts w:hint="eastAsia" w:cs="Times New Roman" w:asciiTheme="minorEastAsia" w:hAnsiTheme="minorEastAsia"/>
          <w:b/>
          <w:sz w:val="24"/>
          <w:szCs w:val="20"/>
          <w:lang w:val="en-US" w:eastAsia="zh-CN"/>
        </w:rPr>
        <w:t>等外</w:t>
      </w:r>
      <w:r>
        <w:rPr>
          <w:rFonts w:hint="eastAsia" w:cs="Times New Roman" w:asciiTheme="minorEastAsia" w:hAnsiTheme="minorEastAsia"/>
          <w:b/>
          <w:sz w:val="24"/>
          <w:szCs w:val="20"/>
          <w:lang w:eastAsia="zh-CN"/>
        </w:rPr>
        <w:t>基地内</w:t>
      </w:r>
      <w:r>
        <w:rPr>
          <w:rFonts w:hint="eastAsia" w:cs="Times New Roman" w:asciiTheme="minorEastAsia" w:hAnsiTheme="minorEastAsia"/>
          <w:b/>
          <w:sz w:val="24"/>
          <w:szCs w:val="20"/>
          <w:lang w:val="en-US" w:eastAsia="zh-CN"/>
        </w:rPr>
        <w:t>部</w:t>
      </w:r>
      <w:r>
        <w:rPr>
          <w:rFonts w:hint="eastAsia" w:cs="Times New Roman" w:asciiTheme="minorEastAsia" w:hAnsiTheme="minorEastAsia"/>
          <w:b/>
          <w:sz w:val="24"/>
          <w:szCs w:val="20"/>
          <w:lang w:eastAsia="zh-CN"/>
        </w:rPr>
        <w:t>道路</w:t>
      </w:r>
      <w:r>
        <w:rPr>
          <w:rFonts w:hint="eastAsia" w:cs="Times New Roman" w:asciiTheme="minorEastAsia" w:hAnsiTheme="minorEastAsia"/>
          <w:b/>
          <w:sz w:val="24"/>
          <w:szCs w:val="20"/>
        </w:rPr>
        <w:t>，设计速度均为</w:t>
      </w:r>
      <w:r>
        <w:rPr>
          <w:rFonts w:hint="eastAsia" w:cs="Times New Roman" w:asciiTheme="minorEastAsia" w:hAnsiTheme="minorEastAsia"/>
          <w:b/>
          <w:sz w:val="24"/>
          <w:szCs w:val="20"/>
          <w:lang w:val="en-US" w:eastAsia="zh-CN"/>
        </w:rPr>
        <w:t>15</w:t>
      </w:r>
      <w:r>
        <w:rPr>
          <w:rFonts w:hint="eastAsia" w:cs="Times New Roman" w:asciiTheme="minorEastAsia" w:hAnsiTheme="minorEastAsia"/>
          <w:b/>
          <w:sz w:val="24"/>
          <w:szCs w:val="20"/>
        </w:rPr>
        <w:t>km/h。</w:t>
      </w:r>
    </w:p>
    <w:p w14:paraId="2D3D68F4">
      <w:pPr>
        <w:pStyle w:val="5"/>
        <w:spacing w:line="360" w:lineRule="auto"/>
        <w:ind w:firstLine="480"/>
        <w:rPr>
          <w:rFonts w:cs="Times New Roman" w:asciiTheme="minorEastAsia" w:hAnsiTheme="minorEastAsia"/>
          <w:b/>
          <w:bCs/>
          <w:color w:val="000000"/>
          <w:sz w:val="24"/>
          <w:szCs w:val="20"/>
        </w:rPr>
      </w:pPr>
      <w:r>
        <w:rPr>
          <w:rFonts w:cs="Times New Roman" w:asciiTheme="minorEastAsia" w:hAnsiTheme="minorEastAsia"/>
          <w:color w:val="000000"/>
          <w:sz w:val="24"/>
          <w:szCs w:val="20"/>
        </w:rPr>
        <w:t xml:space="preserve"> </w:t>
      </w:r>
      <w:r>
        <w:rPr>
          <w:rFonts w:hint="eastAsia" w:cs="Times New Roman" w:asciiTheme="minorEastAsia" w:hAnsiTheme="minorEastAsia"/>
          <w:b/>
          <w:bCs/>
          <w:color w:val="000000"/>
          <w:sz w:val="24"/>
          <w:szCs w:val="20"/>
        </w:rPr>
        <w:t>本次涉及道路共有</w:t>
      </w:r>
      <w:r>
        <w:rPr>
          <w:rFonts w:hint="eastAsia" w:cs="Times New Roman" w:asciiTheme="minorEastAsia" w:hAnsiTheme="minorEastAsia"/>
          <w:b/>
          <w:bCs/>
          <w:color w:val="000000"/>
          <w:sz w:val="24"/>
          <w:szCs w:val="20"/>
          <w:lang w:val="en-US" w:eastAsia="zh-CN"/>
        </w:rPr>
        <w:t>11</w:t>
      </w:r>
      <w:r>
        <w:rPr>
          <w:rFonts w:hint="eastAsia" w:cs="Times New Roman" w:asciiTheme="minorEastAsia" w:hAnsiTheme="minorEastAsia"/>
          <w:b/>
          <w:bCs/>
          <w:color w:val="000000"/>
          <w:sz w:val="24"/>
          <w:szCs w:val="20"/>
        </w:rPr>
        <w:t>条，</w:t>
      </w:r>
      <w:r>
        <w:rPr>
          <w:rFonts w:hint="eastAsia" w:cs="Times New Roman" w:asciiTheme="minorEastAsia" w:hAnsiTheme="minorEastAsia"/>
          <w:b/>
          <w:bCs/>
          <w:color w:val="000000"/>
          <w:sz w:val="24"/>
          <w:szCs w:val="20"/>
          <w:lang w:eastAsia="zh-CN"/>
        </w:rPr>
        <w:t>均为</w:t>
      </w:r>
      <w:r>
        <w:rPr>
          <w:rFonts w:hint="eastAsia" w:cs="Times New Roman" w:asciiTheme="minorEastAsia" w:hAnsiTheme="minorEastAsia"/>
          <w:b/>
          <w:bCs/>
          <w:color w:val="000000"/>
          <w:sz w:val="24"/>
          <w:szCs w:val="20"/>
        </w:rPr>
        <w:t>对</w:t>
      </w:r>
      <w:r>
        <w:rPr>
          <w:rFonts w:hint="eastAsia" w:cs="Times New Roman" w:asciiTheme="minorEastAsia" w:hAnsiTheme="minorEastAsia"/>
          <w:b/>
          <w:bCs/>
          <w:color w:val="000000"/>
          <w:sz w:val="24"/>
          <w:szCs w:val="20"/>
          <w:lang w:eastAsia="zh-CN"/>
        </w:rPr>
        <w:t>安置区内部</w:t>
      </w:r>
      <w:r>
        <w:rPr>
          <w:rFonts w:hint="eastAsia" w:cs="Times New Roman" w:asciiTheme="minorEastAsia" w:hAnsiTheme="minorEastAsia"/>
          <w:b/>
          <w:bCs/>
          <w:color w:val="000000"/>
          <w:sz w:val="24"/>
          <w:szCs w:val="20"/>
        </w:rPr>
        <w:t>现状土路进行硬化</w:t>
      </w:r>
      <w:r>
        <w:rPr>
          <w:rFonts w:hint="eastAsia" w:cs="Times New Roman" w:asciiTheme="minorEastAsia" w:hAnsiTheme="minorEastAsia"/>
          <w:b/>
          <w:bCs/>
          <w:sz w:val="24"/>
          <w:szCs w:val="20"/>
        </w:rPr>
        <w:t>。</w:t>
      </w:r>
    </w:p>
    <w:p w14:paraId="487BD441">
      <w:pPr>
        <w:pStyle w:val="5"/>
        <w:widowControl w:val="0"/>
        <w:pBdr>
          <w:top w:val="none" w:color="auto" w:sz="0" w:space="1"/>
          <w:left w:val="none" w:color="auto" w:sz="0" w:space="4"/>
          <w:bottom w:val="none" w:color="auto" w:sz="0" w:space="1"/>
          <w:right w:val="none" w:color="auto" w:sz="0" w:space="4"/>
          <w:between w:val="none" w:color="auto" w:sz="0" w:space="0"/>
        </w:pBdr>
        <w:spacing w:line="360" w:lineRule="auto"/>
        <w:ind w:firstLine="480" w:firstLineChars="200"/>
        <w:jc w:val="both"/>
        <w:rPr>
          <w:rFonts w:cs="Times New Roman" w:asciiTheme="minorEastAsia" w:hAnsiTheme="minorEastAsia"/>
          <w:sz w:val="24"/>
          <w:szCs w:val="20"/>
        </w:rPr>
      </w:pPr>
      <w:r>
        <w:rPr>
          <w:rFonts w:hint="eastAsia" w:cs="Times New Roman" w:asciiTheme="minorEastAsia" w:hAnsiTheme="minorEastAsia"/>
          <w:sz w:val="24"/>
          <w:szCs w:val="20"/>
        </w:rPr>
        <w:t>本项目为</w:t>
      </w:r>
      <w:r>
        <w:rPr>
          <w:rFonts w:hint="eastAsia" w:cs="Times New Roman" w:asciiTheme="minorEastAsia" w:hAnsiTheme="minorEastAsia"/>
          <w:color w:val="000000"/>
          <w:sz w:val="24"/>
          <w:szCs w:val="20"/>
        </w:rPr>
        <w:t>美丽乡村建设工程</w:t>
      </w:r>
      <w:r>
        <w:rPr>
          <w:rFonts w:hint="eastAsia" w:cs="Times New Roman" w:asciiTheme="minorEastAsia" w:hAnsiTheme="minorEastAsia"/>
          <w:sz w:val="24"/>
          <w:szCs w:val="20"/>
        </w:rPr>
        <w:t>，</w:t>
      </w:r>
      <w:r>
        <w:rPr>
          <w:rFonts w:cs="Times New Roman" w:asciiTheme="minorEastAsia" w:hAnsiTheme="minorEastAsia"/>
          <w:sz w:val="24"/>
          <w:szCs w:val="20"/>
        </w:rPr>
        <w:t>建设内容</w:t>
      </w:r>
      <w:r>
        <w:rPr>
          <w:rFonts w:hint="eastAsia" w:cs="Times New Roman" w:asciiTheme="minorEastAsia" w:hAnsiTheme="minorEastAsia"/>
          <w:sz w:val="24"/>
          <w:szCs w:val="20"/>
        </w:rPr>
        <w:t>主要</w:t>
      </w:r>
      <w:r>
        <w:rPr>
          <w:rFonts w:cs="Times New Roman" w:asciiTheme="minorEastAsia" w:hAnsiTheme="minorEastAsia"/>
          <w:sz w:val="24"/>
          <w:szCs w:val="20"/>
        </w:rPr>
        <w:t>包括</w:t>
      </w:r>
      <w:r>
        <w:rPr>
          <w:rFonts w:hint="eastAsia" w:cs="Times New Roman" w:asciiTheme="minorEastAsia" w:hAnsiTheme="minorEastAsia"/>
          <w:color w:val="000000"/>
          <w:sz w:val="24"/>
          <w:szCs w:val="20"/>
        </w:rPr>
        <w:t>道路</w:t>
      </w:r>
      <w:r>
        <w:rPr>
          <w:rFonts w:hint="eastAsia" w:cs="Times New Roman" w:asciiTheme="minorEastAsia" w:hAnsiTheme="minorEastAsia"/>
          <w:color w:val="000000"/>
          <w:sz w:val="24"/>
          <w:szCs w:val="20"/>
          <w:lang w:eastAsia="zh-CN"/>
        </w:rPr>
        <w:t>交通</w:t>
      </w:r>
      <w:r>
        <w:rPr>
          <w:rFonts w:hint="eastAsia" w:cs="Times New Roman" w:asciiTheme="minorEastAsia" w:hAnsiTheme="minorEastAsia"/>
          <w:color w:val="000000"/>
          <w:sz w:val="24"/>
          <w:szCs w:val="20"/>
        </w:rPr>
        <w:t>工程</w:t>
      </w:r>
      <w:r>
        <w:rPr>
          <w:rFonts w:hint="eastAsia" w:cs="Times New Roman" w:asciiTheme="minorEastAsia" w:hAnsiTheme="minorEastAsia"/>
          <w:color w:val="000000"/>
          <w:sz w:val="24"/>
          <w:szCs w:val="20"/>
          <w:lang w:eastAsia="zh-CN"/>
        </w:rPr>
        <w:t>、</w:t>
      </w:r>
      <w:r>
        <w:rPr>
          <w:rFonts w:hint="eastAsia" w:cs="Times New Roman" w:asciiTheme="minorEastAsia" w:hAnsiTheme="minorEastAsia"/>
          <w:color w:val="000000"/>
          <w:sz w:val="24"/>
          <w:szCs w:val="20"/>
        </w:rPr>
        <w:t>排水工程</w:t>
      </w:r>
      <w:r>
        <w:rPr>
          <w:rFonts w:hint="eastAsia" w:cs="Times New Roman" w:asciiTheme="minorEastAsia" w:hAnsiTheme="minorEastAsia"/>
          <w:color w:val="000000"/>
          <w:sz w:val="24"/>
          <w:szCs w:val="20"/>
          <w:lang w:eastAsia="zh-CN"/>
        </w:rPr>
        <w:t>、</w:t>
      </w:r>
      <w:r>
        <w:rPr>
          <w:rFonts w:hint="eastAsia" w:cs="Times New Roman" w:asciiTheme="minorEastAsia" w:hAnsiTheme="minorEastAsia"/>
          <w:color w:val="000000"/>
          <w:sz w:val="24"/>
          <w:szCs w:val="20"/>
        </w:rPr>
        <w:t>园林景观工程</w:t>
      </w:r>
      <w:r>
        <w:rPr>
          <w:rFonts w:hint="eastAsia" w:cs="Times New Roman" w:asciiTheme="minorEastAsia" w:hAnsiTheme="minorEastAsia"/>
          <w:color w:val="000000"/>
          <w:sz w:val="24"/>
          <w:szCs w:val="20"/>
          <w:lang w:eastAsia="zh-CN"/>
        </w:rPr>
        <w:t>及照明工程</w:t>
      </w:r>
      <w:r>
        <w:rPr>
          <w:rFonts w:hint="eastAsia" w:cs="Times New Roman" w:asciiTheme="minorEastAsia" w:hAnsiTheme="minorEastAsia"/>
          <w:sz w:val="24"/>
          <w:szCs w:val="20"/>
        </w:rPr>
        <w:t>。</w:t>
      </w:r>
    </w:p>
    <w:p w14:paraId="291A3D4B">
      <w:pPr>
        <w:pStyle w:val="5"/>
        <w:spacing w:line="360" w:lineRule="auto"/>
        <w:ind w:firstLine="0" w:firstLineChars="0"/>
        <w:jc w:val="center"/>
        <w:rPr>
          <w:rFonts w:hint="eastAsia" w:cs="Times New Roman" w:asciiTheme="minorEastAsia" w:hAnsiTheme="minorEastAsia" w:eastAsiaTheme="minorEastAsia"/>
          <w:sz w:val="24"/>
          <w:szCs w:val="20"/>
          <w:lang w:eastAsia="zh-CN"/>
        </w:rPr>
      </w:pPr>
      <w:r>
        <w:rPr>
          <w:rFonts w:hint="eastAsia" w:cs="Times New Roman" w:asciiTheme="minorEastAsia" w:hAnsiTheme="minorEastAsia" w:eastAsiaTheme="minorEastAsia"/>
          <w:sz w:val="24"/>
          <w:szCs w:val="20"/>
          <w:lang w:eastAsia="zh-CN"/>
        </w:rPr>
        <w:drawing>
          <wp:inline distT="0" distB="0" distL="114300" distR="114300">
            <wp:extent cx="6560820" cy="4639310"/>
            <wp:effectExtent l="0" t="0" r="11430" b="8890"/>
            <wp:docPr id="2" name="图片 2" descr="项目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项目地理位置图"/>
                    <pic:cNvPicPr>
                      <a:picLocks noChangeAspect="1"/>
                    </pic:cNvPicPr>
                  </pic:nvPicPr>
                  <pic:blipFill>
                    <a:blip r:embed="rId9"/>
                    <a:stretch>
                      <a:fillRect/>
                    </a:stretch>
                  </pic:blipFill>
                  <pic:spPr>
                    <a:xfrm>
                      <a:off x="0" y="0"/>
                      <a:ext cx="6560820" cy="4639310"/>
                    </a:xfrm>
                    <a:prstGeom prst="rect">
                      <a:avLst/>
                    </a:prstGeom>
                  </pic:spPr>
                </pic:pic>
              </a:graphicData>
            </a:graphic>
          </wp:inline>
        </w:drawing>
      </w:r>
      <w:r>
        <w:rPr>
          <w:sz w:val="24"/>
        </w:rPr>
        <mc:AlternateContent>
          <mc:Choice Requires="wps">
            <w:drawing>
              <wp:anchor distT="0" distB="0" distL="114300" distR="114300" simplePos="0" relativeHeight="251661312" behindDoc="0" locked="0" layoutInCell="1" allowOverlap="1">
                <wp:simplePos x="0" y="0"/>
                <wp:positionH relativeFrom="column">
                  <wp:posOffset>5786120</wp:posOffset>
                </wp:positionH>
                <wp:positionV relativeFrom="paragraph">
                  <wp:posOffset>2838450</wp:posOffset>
                </wp:positionV>
                <wp:extent cx="1315720" cy="517525"/>
                <wp:effectExtent l="153670" t="6350" r="16510" b="161925"/>
                <wp:wrapNone/>
                <wp:docPr id="7" name="矩形标注 7"/>
                <wp:cNvGraphicFramePr/>
                <a:graphic xmlns:a="http://schemas.openxmlformats.org/drawingml/2006/main">
                  <a:graphicData uri="http://schemas.microsoft.com/office/word/2010/wordprocessingShape">
                    <wps:wsp>
                      <wps:cNvSpPr/>
                      <wps:spPr>
                        <a:xfrm>
                          <a:off x="0" y="0"/>
                          <a:ext cx="1315720" cy="517525"/>
                        </a:xfrm>
                        <a:prstGeom prst="wedgeRectCallout">
                          <a:avLst>
                            <a:gd name="adj1" fmla="val -61196"/>
                            <a:gd name="adj2" fmla="val 78374"/>
                          </a:avLst>
                        </a:prstGeom>
                        <a:solidFill>
                          <a:schemeClr val="bg1"/>
                        </a:solid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02DD313">
                            <w:pPr>
                              <w:jc w:val="center"/>
                              <w:rPr>
                                <w:rFonts w:hint="eastAsia"/>
                                <w:color w:val="FF0000"/>
                                <w:sz w:val="18"/>
                                <w:szCs w:val="18"/>
                                <w:lang w:eastAsia="zh-CN"/>
                              </w:rPr>
                            </w:pPr>
                            <w:r>
                              <w:rPr>
                                <w:rFonts w:hint="eastAsia"/>
                                <w:color w:val="FF0000"/>
                                <w:sz w:val="18"/>
                                <w:szCs w:val="18"/>
                                <w:lang w:eastAsia="zh-CN"/>
                              </w:rPr>
                              <w:t>本次项目</w:t>
                            </w:r>
                            <w:r>
                              <w:rPr>
                                <w:rFonts w:hint="eastAsia"/>
                                <w:color w:val="FF0000"/>
                                <w:sz w:val="18"/>
                                <w:szCs w:val="18"/>
                                <w:lang w:val="en-US" w:eastAsia="zh-CN"/>
                              </w:rPr>
                              <w:t>F</w:t>
                            </w:r>
                            <w:r>
                              <w:rPr>
                                <w:rFonts w:hint="eastAsia"/>
                                <w:color w:val="FF0000"/>
                                <w:sz w:val="18"/>
                                <w:szCs w:val="18"/>
                                <w:lang w:eastAsia="zh-CN"/>
                              </w:rPr>
                              <w:t>K~</w:t>
                            </w:r>
                            <w:r>
                              <w:rPr>
                                <w:rFonts w:hint="eastAsia"/>
                                <w:color w:val="FF0000"/>
                                <w:sz w:val="18"/>
                                <w:szCs w:val="18"/>
                                <w:lang w:val="en-US" w:eastAsia="zh-CN"/>
                              </w:rPr>
                              <w:t>K</w:t>
                            </w:r>
                            <w:r>
                              <w:rPr>
                                <w:rFonts w:hint="eastAsia"/>
                                <w:color w:val="FF0000"/>
                                <w:sz w:val="18"/>
                                <w:szCs w:val="18"/>
                                <w:lang w:eastAsia="zh-CN"/>
                              </w:rPr>
                              <w:t>K道路设计范围（公岭社）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455.6pt;margin-top:223.5pt;height:40.75pt;width:103.6pt;z-index:251661312;v-text-anchor:middle;mso-width-relative:page;mso-height-relative:page;" fillcolor="#FFFFFF [3212]" filled="t" stroked="t" coordsize="21600,21600" o:gfxdata="UEsDBAoAAAAAAIdO4kAAAAAAAAAAAAAAAAAEAAAAZHJzL1BLAwQUAAAACACHTuJAz+J73dsAAAAM&#10;AQAADwAAAGRycy9kb3ducmV2LnhtbE2PQUvDQBCF74L/YRnBi9jNhkRjzKaHggVBsEbR6ySZJsHs&#10;bMhu0/rv3Z70OMzHe98r1iczioVmN1jWoFYRCOLGtgN3Gj7en24zEM4jtzhaJg0/5GBdXl4UmLf2&#10;yG+0VL4TIYRdjhp676dcStf0ZNCt7EQcfns7G/ThnDvZzngM4WaUcRTdSYMDh4YeJ9r01HxXB6Oh&#10;uhm2y2u637ht/PL89bnbVTV2Wl9fqegRhKeT/4PhrB/UoQxOtT1w68So4UGpOKAakuQ+jDoTSmUJ&#10;iFpDGmcpyLKQ/0eUv1BLAwQUAAAACACHTuJATtwUQKACAABMBQAADgAAAGRycy9lMm9Eb2MueG1s&#10;rVTNbhMxEL4j8Q6W7+1m06TbRt1UUaIgpIpWFMTZ8dq7i/yH7WRTXoDHKOIEZ848DuU1GHvdNi09&#10;9MAevDOe8Tcz33h8crqVAm2Yda1WJc73BxgxRXXVqrrE798t944wcp6oigitWImvmMOn05cvTjoz&#10;YUPdaFExiwBEuUlnStx4byZZ5mjDJHH72jAFRq6tJB5UW2eVJR2gS5ENB4PDrNO2MlZT5hzsLnoj&#10;Toj2OYCa85ayhaZryZTvUS0TxENJrmmNw9OYLeeM+nPOHfNIlBgq9XGFICCvwppNT8iktsQ0LU0p&#10;kOek8KgmSVoFQe+gFsQTtLbtP1CypVY7zf0+1TLrC4mMQBX54BE3lw0xLNYCVDtzR7r7f7D0zebC&#10;orYqcYGRIhIa/uf6x+9f326+frn5+R0VgaHOuAk4XpoLmzQHYih3y60MfygEbSOrV3essq1HFDbz&#10;g3xcDIFwCrZxXoyH4wCa3Z821vlXTEsUhBJ3rKrZW2jdnAih1z4SSzZnzkeGq5QnqT7mGHEpoGEb&#10;ItDeYZ4fH6aO7jgNd52Ko4NilMInSEjkNoGA77Roq2UrRFRsvZoLiwC/xMv4pcMP3IRCHRQ6LAah&#10;TAJTweE2gigNMOtUjRERNYwb9TZW8+C0exhkAN9TQUKSC+KaPpmIkNyEAjpDk/q2BMlvV9vUq5Wu&#10;rqDHVveX3xm6bAHqjDh/QSyQBznDe+DPYeFCQyE6SRg12n5+aj/4wyUEK0YdTA8U+WlNLMNIvFZw&#10;PY/z0QhgfVRGffvtrmW1a1FrOddAMLQTsosiHLZe3IrcavkBno1ZiAomoijE7ulMytz3Uw0PD2Wz&#10;WXSDETPEn6lLQwN4aKjSs7XXvPXhBgaienaSAkMWL2Z6EMIU7+rR6/4RnP4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FAUAAFtDb250ZW50X1R5&#10;cGVzXS54bWxQSwECFAAKAAAAAACHTuJAAAAAAAAAAAAAAAAABgAAAAAAAAAAABAAAAD2AwAAX3Jl&#10;bHMvUEsBAhQAFAAAAAgAh07iQIoUZjzRAAAAlAEAAAsAAAAAAAAAAQAgAAAAGgQAAF9yZWxzLy5y&#10;ZWxzUEsBAhQACgAAAAAAh07iQAAAAAAAAAAAAAAAAAQAAAAAAAAAAAAQAAAAAAAAAGRycy9QSwEC&#10;FAAUAAAACACHTuJAz+J73dsAAAAMAQAADwAAAAAAAAABACAAAAAiAAAAZHJzL2Rvd25yZXYueG1s&#10;UEsBAhQAFAAAAAgAh07iQE7cFECgAgAATAUAAA4AAAAAAAAAAQAgAAAAKgEAAGRycy9lMm9Eb2Mu&#10;eG1sUEsFBgAAAAAGAAYAWQEAADwGAAAAAA==&#10;" adj="-2418,27729">
                <v:fill on="t" focussize="0,0"/>
                <v:stroke weight="1pt" color="#FF0000 [2404]" joinstyle="round"/>
                <v:imagedata o:title=""/>
                <o:lock v:ext="edit" aspectratio="f"/>
                <v:textbox>
                  <w:txbxContent>
                    <w:p w14:paraId="302DD313">
                      <w:pPr>
                        <w:jc w:val="center"/>
                        <w:rPr>
                          <w:rFonts w:hint="eastAsia"/>
                          <w:color w:val="FF0000"/>
                          <w:sz w:val="18"/>
                          <w:szCs w:val="18"/>
                          <w:lang w:eastAsia="zh-CN"/>
                        </w:rPr>
                      </w:pPr>
                      <w:r>
                        <w:rPr>
                          <w:rFonts w:hint="eastAsia"/>
                          <w:color w:val="FF0000"/>
                          <w:sz w:val="18"/>
                          <w:szCs w:val="18"/>
                          <w:lang w:eastAsia="zh-CN"/>
                        </w:rPr>
                        <w:t>本次项目</w:t>
                      </w:r>
                      <w:r>
                        <w:rPr>
                          <w:rFonts w:hint="eastAsia"/>
                          <w:color w:val="FF0000"/>
                          <w:sz w:val="18"/>
                          <w:szCs w:val="18"/>
                          <w:lang w:val="en-US" w:eastAsia="zh-CN"/>
                        </w:rPr>
                        <w:t>F</w:t>
                      </w:r>
                      <w:r>
                        <w:rPr>
                          <w:rFonts w:hint="eastAsia"/>
                          <w:color w:val="FF0000"/>
                          <w:sz w:val="18"/>
                          <w:szCs w:val="18"/>
                          <w:lang w:eastAsia="zh-CN"/>
                        </w:rPr>
                        <w:t>K~</w:t>
                      </w:r>
                      <w:r>
                        <w:rPr>
                          <w:rFonts w:hint="eastAsia"/>
                          <w:color w:val="FF0000"/>
                          <w:sz w:val="18"/>
                          <w:szCs w:val="18"/>
                          <w:lang w:val="en-US" w:eastAsia="zh-CN"/>
                        </w:rPr>
                        <w:t>K</w:t>
                      </w:r>
                      <w:r>
                        <w:rPr>
                          <w:rFonts w:hint="eastAsia"/>
                          <w:color w:val="FF0000"/>
                          <w:sz w:val="18"/>
                          <w:szCs w:val="18"/>
                          <w:lang w:eastAsia="zh-CN"/>
                        </w:rPr>
                        <w:t>K道路设计范围（公岭社）</w:t>
                      </w:r>
                    </w:p>
                  </w:txbxContent>
                </v:textbox>
              </v:shape>
            </w:pict>
          </mc:Fallback>
        </mc:AlternateContent>
      </w:r>
      <w:r>
        <w:rPr>
          <w:sz w:val="24"/>
        </w:rPr>
        <mc:AlternateContent>
          <mc:Choice Requires="wps">
            <w:drawing>
              <wp:anchor distT="0" distB="0" distL="114300" distR="114300" simplePos="0" relativeHeight="251660288" behindDoc="0" locked="0" layoutInCell="1" allowOverlap="1">
                <wp:simplePos x="0" y="0"/>
                <wp:positionH relativeFrom="column">
                  <wp:posOffset>1866265</wp:posOffset>
                </wp:positionH>
                <wp:positionV relativeFrom="paragraph">
                  <wp:posOffset>4117340</wp:posOffset>
                </wp:positionV>
                <wp:extent cx="1315720" cy="488950"/>
                <wp:effectExtent l="6350" t="6350" r="392430" b="19050"/>
                <wp:wrapNone/>
                <wp:docPr id="6" name="矩形标注 6"/>
                <wp:cNvGraphicFramePr/>
                <a:graphic xmlns:a="http://schemas.openxmlformats.org/drawingml/2006/main">
                  <a:graphicData uri="http://schemas.microsoft.com/office/word/2010/wordprocessingShape">
                    <wps:wsp>
                      <wps:cNvSpPr/>
                      <wps:spPr>
                        <a:xfrm>
                          <a:off x="10187940" y="5703570"/>
                          <a:ext cx="1315720" cy="488950"/>
                        </a:xfrm>
                        <a:prstGeom prst="wedgeRectCallout">
                          <a:avLst>
                            <a:gd name="adj1" fmla="val 78909"/>
                            <a:gd name="adj2" fmla="val -38292"/>
                          </a:avLst>
                        </a:prstGeom>
                        <a:solidFill>
                          <a:schemeClr val="bg1"/>
                        </a:solidFill>
                        <a:ln w="1270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3E028CD">
                            <w:pPr>
                              <w:jc w:val="center"/>
                              <w:rPr>
                                <w:rFonts w:hint="eastAsia"/>
                                <w:color w:val="FF0000"/>
                                <w:sz w:val="18"/>
                                <w:szCs w:val="18"/>
                                <w:lang w:eastAsia="zh-CN"/>
                              </w:rPr>
                            </w:pPr>
                            <w:r>
                              <w:rPr>
                                <w:rFonts w:hint="eastAsia"/>
                                <w:color w:val="FF0000"/>
                                <w:sz w:val="18"/>
                                <w:szCs w:val="18"/>
                                <w:lang w:eastAsia="zh-CN"/>
                              </w:rPr>
                              <w:t>本次项目AK~EK道路设计范围（长岭社）</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46.95pt;margin-top:324.2pt;height:38.5pt;width:103.6pt;z-index:251660288;v-text-anchor:middle;mso-width-relative:page;mso-height-relative:page;" fillcolor="#FFFFFF [3212]" filled="t" stroked="t" coordsize="21600,21600" o:gfxdata="UEsDBAoAAAAAAIdO4kAAAAAAAAAAAAAAAAAEAAAAZHJzL1BLAwQUAAAACACHTuJAu74FhdsAAAAL&#10;AQAADwAAAGRycy9kb3ducmV2LnhtbE2Py07DMBBF90j8gzVI7KjtkJYmZNJFERJCbGjLgp0bD0lE&#10;/CB2m/D3mBUsR/fo3jPVZjYDO9MYemcR5EIAI9s43dsW4bB/vFkDC1FZrQZnCeGbAmzqy4tKldpN&#10;9pXOu9iyVGJDqRC6GH3JeWg6MiosnCebsg83GhXTObZcj2pK5WbgmRArblRv00KnPG07aj53J4Ng&#10;9gcfw/N2Ug/z14uX77Lon94Qr6+kuAcWaY5/MPzqJ3Wok9PRnawObEDIitsioQirfJ0DS8RSSAns&#10;iHCXLXPgdcX//1D/AFBLAwQUAAAACACHTuJAoyU5JqwCAABZBQAADgAAAGRycy9lMm9Eb2MueG1s&#10;rVTNbhMxEL4j8Q6W7+1utmnzo26qKFEQUkUrCuLseO1dI/9hO9mUF+AxQJzgzJnHobwGY++2TUsP&#10;HFgpm5n1+Jv5vvH49GynJNoy54XRJR4c5hgxTU0ldF3it29WB2OMfCC6ItJoVuJr5vHZ7Pmz09ZO&#10;WWEaIyvmEIBoP21tiZsQ7DTLPG2YIv7QWKZhkRunSADX1VnlSAvoSmZFnp9krXGVdYYy7+HrslvE&#10;PaL7F0DDuaBsaehGMR06VMckCUDJN8J6PEvVcs5ouODcs4BkiYFpSG9IAvY6vrPZKZnWjthG0L4E&#10;8i8lPOKkiNCQ9A5qSQJBGyf+glKCOuMND4fUqKwjkhQBFoP8kTZXDbEscQGpvb0T3f8/WPpqe+mQ&#10;qEp8gpEmChr++/P3Xz+/3nz5dPPjGzqJCrXWTyHwyl663vNgRro77lT8ByJoB6cpH4xHkyGIe13i&#10;41F+BL9OYrYLiMaIo8HxqIAAChHD8XhynAKyeyjrfHjBjELRKHHLqpq9hj4uiJRmE5LKZHvuQ5K7&#10;6osm1fsBRlxJ6N6WSDQaT/JJ3929mGI/5uBoXEyKGATpe0iwbguI+N5IUa2ElMlx9XohHQL8Eq/S&#10;029+ECY1aoFoMcojTQIjwuFogqksyOx1jRGRNcweDS6xebDbP0ySw/NUkljkkvimKyYh9GFSA5/Y&#10;sa5H0Qq79a5v3NpU19BwZ7pJ8JauBECdEx8uiQPxoGa4HMIFvLg0QMT0FkaNcR+f+h7j4UTCKkYt&#10;jBKQ/LAhjmEkX2o4q5PBMB6JkJxh1363v7LeX9EbtTAgMLQTqksmbHZB3prcGfUO7pB5zApLRFPI&#10;3cnZO4vQjTjcQpTN5ykM5s2ScK6vLI3gsaHazDfBcBHiEYhCder0DkxcOhn97RBHet9PUfc34uw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u74FhdsAAAALAQAADwAAAAAAAAABACAAAAAiAAAAZHJz&#10;L2Rvd25yZXYueG1sUEsBAhQAFAAAAAgAh07iQKMlOSasAgAAWQUAAA4AAAAAAAAAAQAgAAAAKgEA&#10;AGRycy9lMm9Eb2MueG1sUEsFBgAAAAAGAAYAWQEAAEgGAAAAAA==&#10;" adj="27844,2529">
                <v:fill on="t" focussize="0,0"/>
                <v:stroke weight="1pt" color="#FF0000 [2404]" joinstyle="round"/>
                <v:imagedata o:title=""/>
                <o:lock v:ext="edit" aspectratio="f"/>
                <v:textbox>
                  <w:txbxContent>
                    <w:p w14:paraId="33E028CD">
                      <w:pPr>
                        <w:jc w:val="center"/>
                        <w:rPr>
                          <w:rFonts w:hint="eastAsia"/>
                          <w:color w:val="FF0000"/>
                          <w:sz w:val="18"/>
                          <w:szCs w:val="18"/>
                          <w:lang w:eastAsia="zh-CN"/>
                        </w:rPr>
                      </w:pPr>
                      <w:r>
                        <w:rPr>
                          <w:rFonts w:hint="eastAsia"/>
                          <w:color w:val="FF0000"/>
                          <w:sz w:val="18"/>
                          <w:szCs w:val="18"/>
                          <w:lang w:eastAsia="zh-CN"/>
                        </w:rPr>
                        <w:t>本次项目AK~EK道路设计范围（长岭社）</w:t>
                      </w:r>
                    </w:p>
                  </w:txbxContent>
                </v:textbox>
              </v:shape>
            </w:pict>
          </mc:Fallback>
        </mc:AlternateContent>
      </w:r>
    </w:p>
    <w:p w14:paraId="611A1672">
      <w:pPr>
        <w:spacing w:line="360" w:lineRule="auto"/>
        <w:jc w:val="center"/>
        <w:rPr>
          <w:rFonts w:cs="Times New Roman" w:asciiTheme="minorEastAsia" w:hAnsiTheme="minorEastAsia"/>
          <w:b/>
          <w:sz w:val="24"/>
        </w:rPr>
      </w:pPr>
      <w:r>
        <w:rPr>
          <w:rFonts w:hint="eastAsia" w:cs="Times New Roman" w:asciiTheme="minorEastAsia" w:hAnsiTheme="minorEastAsia"/>
          <w:b/>
          <w:sz w:val="24"/>
        </w:rPr>
        <w:t>项目地理位置图</w:t>
      </w:r>
    </w:p>
    <w:p w14:paraId="63D64CA6">
      <w:pPr>
        <w:pStyle w:val="6"/>
        <w:spacing w:beforeLines="0"/>
        <w:rPr>
          <w:rFonts w:asciiTheme="minorEastAsia" w:hAnsiTheme="minorEastAsia" w:eastAsiaTheme="minorEastAsia"/>
        </w:rPr>
      </w:pPr>
      <w:bookmarkStart w:id="9" w:name="_Toc134264482"/>
      <w:bookmarkStart w:id="10" w:name="_Toc134264242"/>
      <w:bookmarkStart w:id="11" w:name="_Toc524344922"/>
      <w:r>
        <w:rPr>
          <w:rFonts w:hint="eastAsia" w:asciiTheme="minorEastAsia" w:hAnsiTheme="minorEastAsia" w:eastAsiaTheme="minorEastAsia"/>
          <w:lang w:val="en-US" w:eastAsia="zh-CN"/>
        </w:rPr>
        <w:t>3</w:t>
      </w:r>
      <w:r>
        <w:rPr>
          <w:rFonts w:asciiTheme="minorEastAsia" w:hAnsiTheme="minorEastAsia" w:eastAsiaTheme="minorEastAsia"/>
        </w:rPr>
        <w:t>.2</w:t>
      </w:r>
      <w:r>
        <w:rPr>
          <w:rFonts w:hint="eastAsia" w:asciiTheme="minorEastAsia" w:hAnsiTheme="minorEastAsia" w:eastAsiaTheme="minorEastAsia"/>
        </w:rPr>
        <w:t>工程沿线现状分析</w:t>
      </w:r>
      <w:bookmarkEnd w:id="9"/>
      <w:bookmarkEnd w:id="10"/>
      <w:bookmarkEnd w:id="11"/>
    </w:p>
    <w:p w14:paraId="1793F70D">
      <w:pPr>
        <w:pStyle w:val="7"/>
        <w:spacing w:beforeLines="0"/>
        <w:rPr>
          <w:rFonts w:ascii="Times New Roman"/>
          <w:color w:val="auto"/>
        </w:rPr>
      </w:pPr>
      <w:bookmarkStart w:id="12" w:name="_Toc134264243"/>
      <w:r>
        <w:rPr>
          <w:rFonts w:hint="eastAsia" w:ascii="Times New Roman" w:eastAsiaTheme="minorEastAsia"/>
          <w:color w:val="auto"/>
          <w:lang w:val="en-US" w:eastAsia="zh-CN"/>
        </w:rPr>
        <w:t>3</w:t>
      </w:r>
      <w:r>
        <w:rPr>
          <w:rFonts w:asciiTheme="minorEastAsia" w:hAnsiTheme="minorEastAsia" w:eastAsiaTheme="minorEastAsia"/>
        </w:rPr>
        <w:t>.</w:t>
      </w:r>
      <w:r>
        <w:rPr>
          <w:rFonts w:hint="eastAsia" w:ascii="Times New Roman"/>
          <w:color w:val="auto"/>
        </w:rPr>
        <w:t>2.1车行道现状</w:t>
      </w:r>
      <w:bookmarkEnd w:id="12"/>
    </w:p>
    <w:p w14:paraId="6D6DE0AC">
      <w:pPr>
        <w:tabs>
          <w:tab w:val="left" w:pos="765"/>
        </w:tabs>
        <w:spacing w:line="360" w:lineRule="auto"/>
        <w:ind w:firstLine="363" w:firstLineChars="202"/>
        <w:rPr>
          <w:rFonts w:asciiTheme="minorEastAsia" w:hAnsiTheme="minorEastAsia"/>
          <w:sz w:val="24"/>
        </w:rPr>
      </w:pPr>
      <w:r>
        <w:rPr>
          <w:sz w:val="18"/>
        </w:rPr>
        <mc:AlternateContent>
          <mc:Choice Requires="wps">
            <w:drawing>
              <wp:anchor distT="0" distB="0" distL="114300" distR="114300" simplePos="0" relativeHeight="251662336" behindDoc="0" locked="0" layoutInCell="1" allowOverlap="1">
                <wp:simplePos x="0" y="0"/>
                <wp:positionH relativeFrom="column">
                  <wp:posOffset>1310005</wp:posOffset>
                </wp:positionH>
                <wp:positionV relativeFrom="paragraph">
                  <wp:posOffset>551180</wp:posOffset>
                </wp:positionV>
                <wp:extent cx="2213610" cy="511810"/>
                <wp:effectExtent l="0" t="0" r="0" b="0"/>
                <wp:wrapNone/>
                <wp:docPr id="19" name="矩形 19"/>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46CCCA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5821951">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3.15pt;margin-top:43.4pt;height:40.3pt;width:174.3pt;z-index:251662336;v-text-anchor:middle;mso-width-relative:page;mso-height-relative:page;" filled="f" stroked="f" coordsize="21600,21600" o:gfxdata="UEsDBAoAAAAAAIdO4kAAAAAAAAAAAAAAAAAEAAAAZHJzL1BLAwQUAAAACACHTuJAky2gYdkAAAAK&#10;AQAADwAAAGRycy9kb3ducmV2LnhtbE2PwU7DMBBE75X4B2uRuLV2SxpKiFNVCJB6pEFC3Jx4SQLx&#10;OordtP17lhMcV/s08ybfnl0vJhxD50nDcqFAINXedtRoeCuf5xsQIRqypveEGi4YYFtczXKTWX+i&#10;V5wOsREcQiEzGtoYh0zKULfoTFj4AYl/n350JvI5NtKO5sThrpcrpVLpTEfc0JoBH1usvw9HpyFU&#10;0768DLv3r49QV7sncmWyf9H65nqpHkBEPMc/GH71WR0Kdqr8kWwQvYaVSm8Z1bBJeQID63VyD6Ji&#10;Mr1LQBa5/D+h+AFQSwMEFAAAAAgAh07iQDW0nnJRAgAAmAQAAA4AAABkcnMvZTJvRG9jLnhtbK1U&#10;zW4TMRC+I/EOlu90syEtbdSkihoVIVW0UkCcHa+dteQ/bCeb8jJI3HiIPg7iNfjs3bZR4dADF2fG&#10;M/t5vm9mcn6xN5rsRIjK2Rmtj0aUCMtdo+xmRj9/unpzSklMzDZMOytm9E5EejF//eq881Mxdq3T&#10;jQgEIDZOOz+jbUp+WlWRt8KweOS8sAhKFwxLcMOmagLrgG50NR6NTqrOhcYHx0WMuF32QToghpcA&#10;OikVF0vHt0bY1KMGoVkCpdgqH+m8VCul4OlGyigS0TMKpqmceAT2Op/V/JxNN4H5VvGhBPaSEp5x&#10;MkxZPPoItWSJkW1Qf0EZxYOLTqYj7kzVEymKgEU9eqbNqmVeFC6QOvpH0eP/g+Ufd7eBqAaTcEaJ&#10;ZQYd//3956/7HwQXUKfzcYqklb8NgxdhZqp7GUz+BQmyL4rePSoq9olwXI7H9duTGmJzxI7r+hQ2&#10;YKqnr32I6b1whmRjRgM6VoRku+uY+tSHlPyYdVdKa9yzqbakwwvHk1HGZxhFiRGAaTzoRLuhhOkN&#10;ZpynUCAPvs2QSxZbsmMYjOi0aoa6tEV5mXRPM1tpv94P3NeuuYNewfWDFD2/UoC6ZjHdsoDJQSnY&#10;rXSDQ2qH+txgUdK68O1f9zkfDUWUkg6TiHq+blkQlOgPFq0+qycTwKbiTI7fjeGEw8j6MGK35tKB&#10;U40t9ryYOT/pB1MGZ75gBRf5VYSY5Xi7V2lwLlO/IVhiLhaLkoZx9Sxd25XnGbzvxWKbnFSlTVmo&#10;Xp1BPwxsafSwXHkjDv2S9fSHMv8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ky2gYdkAAAAKAQAA&#10;DwAAAAAAAAABACAAAAAiAAAAZHJzL2Rvd25yZXYueG1sUEsBAhQAFAAAAAgAh07iQDW0nnJRAgAA&#10;mAQAAA4AAAAAAAAAAQAgAAAAKAEAAGRycy9lMm9Eb2MueG1sUEsFBgAAAAAGAAYAWQEAAOsFAAAA&#10;AA==&#10;">
                <v:fill on="f" focussize="0,0"/>
                <v:stroke on="f" weight="2pt"/>
                <v:imagedata o:title=""/>
                <o:lock v:ext="edit" aspectratio="f"/>
                <v:textbox>
                  <w:txbxContent>
                    <w:p w14:paraId="746CCCA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5821951">
                      <w:pPr>
                        <w:jc w:val="center"/>
                        <w:rPr>
                          <w:color w:val="000000" w:themeColor="text1"/>
                          <w:sz w:val="28"/>
                          <w:szCs w:val="28"/>
                          <w14:textFill>
                            <w14:solidFill>
                              <w14:schemeClr w14:val="tx1"/>
                            </w14:solidFill>
                          </w14:textFill>
                        </w:rPr>
                      </w:pPr>
                    </w:p>
                  </w:txbxContent>
                </v:textbox>
              </v:rect>
            </w:pict>
          </mc:Fallback>
        </mc:AlternateContent>
      </w:r>
      <w:r>
        <w:rPr>
          <w:rFonts w:hint="eastAsia"/>
          <w:sz w:val="24"/>
          <w:szCs w:val="24"/>
        </w:rPr>
        <w:t>本项目道路涉及</w:t>
      </w:r>
      <w:r>
        <w:rPr>
          <w:rFonts w:hint="eastAsia"/>
          <w:sz w:val="24"/>
          <w:szCs w:val="24"/>
          <w:lang w:val="en-US" w:eastAsia="zh-CN"/>
        </w:rPr>
        <w:t>11</w:t>
      </w:r>
      <w:r>
        <w:rPr>
          <w:rFonts w:hint="eastAsia"/>
          <w:sz w:val="24"/>
          <w:szCs w:val="24"/>
        </w:rPr>
        <w:t>条道路，</w:t>
      </w:r>
      <w:r>
        <w:rPr>
          <w:rFonts w:hint="eastAsia"/>
          <w:sz w:val="24"/>
          <w:szCs w:val="24"/>
          <w:lang w:eastAsia="zh-CN"/>
        </w:rPr>
        <w:t>均</w:t>
      </w:r>
      <w:r>
        <w:rPr>
          <w:rFonts w:hint="eastAsia" w:asciiTheme="minorEastAsia" w:hAnsiTheme="minorEastAsia"/>
          <w:sz w:val="24"/>
        </w:rPr>
        <w:t>为</w:t>
      </w:r>
      <w:r>
        <w:rPr>
          <w:rFonts w:hint="eastAsia" w:asciiTheme="minorEastAsia" w:hAnsiTheme="minorEastAsia"/>
          <w:sz w:val="24"/>
          <w:lang w:eastAsia="zh-CN"/>
        </w:rPr>
        <w:t>安置区内部</w:t>
      </w:r>
      <w:r>
        <w:rPr>
          <w:rFonts w:hint="eastAsia" w:asciiTheme="minorEastAsia" w:hAnsiTheme="minorEastAsia"/>
          <w:sz w:val="24"/>
        </w:rPr>
        <w:t>现状土路，周边均长有杂草，且坑洼不平，在雨季常有积水，影响行车及行人安全。</w:t>
      </w:r>
    </w:p>
    <w:p w14:paraId="53B36F31">
      <w:pPr>
        <w:pStyle w:val="6"/>
        <w:spacing w:beforeLines="0"/>
        <w:rPr>
          <w:rFonts w:asciiTheme="minorEastAsia" w:hAnsiTheme="minorEastAsia" w:eastAsiaTheme="minorEastAsia"/>
        </w:rPr>
      </w:pPr>
      <w:bookmarkStart w:id="13" w:name="_Toc134264483"/>
      <w:bookmarkStart w:id="14" w:name="_Toc134264245"/>
      <w:r>
        <w:rPr>
          <w:rFonts w:hint="eastAsia" w:asciiTheme="minorEastAsia" w:hAnsiTheme="minorEastAsia" w:eastAsiaTheme="minorEastAsia"/>
          <w:lang w:val="en-US" w:eastAsia="zh-CN"/>
        </w:rPr>
        <w:t>3</w:t>
      </w:r>
      <w:r>
        <w:rPr>
          <w:rFonts w:asciiTheme="minorEastAsia" w:hAnsiTheme="minorEastAsia" w:eastAsiaTheme="minorEastAsia"/>
        </w:rPr>
        <w:t>.3</w:t>
      </w:r>
      <w:r>
        <w:rPr>
          <w:rFonts w:hint="eastAsia" w:asciiTheme="minorEastAsia" w:hAnsiTheme="minorEastAsia" w:eastAsiaTheme="minorEastAsia"/>
        </w:rPr>
        <w:t>平面线形设计</w:t>
      </w:r>
      <w:bookmarkEnd w:id="13"/>
      <w:bookmarkEnd w:id="14"/>
    </w:p>
    <w:p w14:paraId="0753918B">
      <w:pPr>
        <w:snapToGrid w:val="0"/>
        <w:spacing w:line="360" w:lineRule="auto"/>
        <w:ind w:firstLine="475" w:firstLineChars="197"/>
        <w:rPr>
          <w:rFonts w:asciiTheme="minorEastAsia" w:hAnsiTheme="minorEastAsia"/>
          <w:b/>
          <w:sz w:val="24"/>
        </w:rPr>
      </w:pPr>
      <w:r>
        <w:rPr>
          <w:rFonts w:hint="eastAsia" w:asciiTheme="minorEastAsia" w:hAnsiTheme="minorEastAsia"/>
          <w:b/>
          <w:sz w:val="24"/>
        </w:rPr>
        <w:t>1、平面设计</w:t>
      </w:r>
    </w:p>
    <w:p w14:paraId="72EDA8F7">
      <w:pPr>
        <w:widowControl/>
        <w:spacing w:line="360" w:lineRule="auto"/>
        <w:ind w:firstLine="480" w:firstLineChars="200"/>
        <w:rPr>
          <w:rFonts w:asciiTheme="minorEastAsia" w:hAnsiTheme="minorEastAsia"/>
          <w:color w:val="000000"/>
          <w:kern w:val="0"/>
          <w:sz w:val="24"/>
        </w:rPr>
      </w:pPr>
      <w:r>
        <w:rPr>
          <w:rFonts w:hint="eastAsia" w:cs="Times New Roman" w:asciiTheme="minorEastAsia" w:hAnsiTheme="minorEastAsia"/>
          <w:sz w:val="24"/>
          <w:szCs w:val="20"/>
          <w:lang w:val="en-US" w:eastAsia="zh-CN"/>
        </w:rPr>
        <w:t>由于</w:t>
      </w:r>
      <w:r>
        <w:rPr>
          <w:rFonts w:hint="eastAsia" w:cs="Times New Roman" w:asciiTheme="minorEastAsia" w:hAnsiTheme="minorEastAsia"/>
          <w:sz w:val="24"/>
          <w:szCs w:val="20"/>
          <w:lang w:eastAsia="zh-CN"/>
        </w:rPr>
        <w:t>本项目为安置区内部道路，现状安置区建筑主体已建成，受用地及现状建筑限制，</w:t>
      </w:r>
      <w:r>
        <w:rPr>
          <w:rFonts w:hint="eastAsia" w:asciiTheme="minorEastAsia" w:hAnsiTheme="minorEastAsia"/>
          <w:color w:val="000000"/>
          <w:kern w:val="0"/>
          <w:sz w:val="24"/>
        </w:rPr>
        <w:t>故本次设计平面线形基本与现状线形一致。</w:t>
      </w:r>
    </w:p>
    <w:p w14:paraId="0CF60090">
      <w:pPr>
        <w:snapToGrid w:val="0"/>
        <w:spacing w:line="360" w:lineRule="auto"/>
        <w:ind w:firstLine="480" w:firstLineChars="200"/>
        <w:rPr>
          <w:rFonts w:asciiTheme="minorEastAsia" w:hAnsiTheme="minorEastAsia"/>
          <w:b/>
          <w:sz w:val="24"/>
        </w:rPr>
      </w:pPr>
      <w:r>
        <w:rPr>
          <w:rFonts w:hint="eastAsia" w:cs="Times New Roman" w:asciiTheme="minorEastAsia" w:hAnsiTheme="minorEastAsia"/>
          <w:color w:val="000000"/>
          <w:sz w:val="24"/>
          <w:szCs w:val="20"/>
        </w:rPr>
        <w:t>本次设计道路</w:t>
      </w:r>
      <w:r>
        <w:rPr>
          <w:rFonts w:hint="eastAsia" w:cs="Times New Roman" w:asciiTheme="minorEastAsia" w:hAnsiTheme="minorEastAsia"/>
          <w:sz w:val="24"/>
          <w:szCs w:val="20"/>
        </w:rPr>
        <w:t>全长</w:t>
      </w:r>
      <w:r>
        <w:rPr>
          <w:rFonts w:hint="eastAsia" w:cs="Times New Roman" w:asciiTheme="minorEastAsia" w:hAnsiTheme="minorEastAsia"/>
          <w:sz w:val="24"/>
          <w:szCs w:val="20"/>
          <w:lang w:val="en-US" w:eastAsia="zh-CN"/>
        </w:rPr>
        <w:t>1995.898</w:t>
      </w:r>
      <w:r>
        <w:rPr>
          <w:rFonts w:hint="eastAsia" w:cs="Times New Roman" w:asciiTheme="minorEastAsia" w:hAnsiTheme="minorEastAsia"/>
          <w:sz w:val="24"/>
          <w:szCs w:val="20"/>
        </w:rPr>
        <w:t>m，共有</w:t>
      </w:r>
      <w:r>
        <w:rPr>
          <w:rFonts w:hint="eastAsia" w:cs="Times New Roman" w:asciiTheme="minorEastAsia" w:hAnsiTheme="minorEastAsia"/>
          <w:sz w:val="24"/>
          <w:szCs w:val="20"/>
          <w:lang w:val="en-US" w:eastAsia="zh-CN"/>
        </w:rPr>
        <w:t>11</w:t>
      </w:r>
      <w:r>
        <w:rPr>
          <w:rFonts w:hint="eastAsia" w:cs="Times New Roman" w:asciiTheme="minorEastAsia" w:hAnsiTheme="minorEastAsia"/>
          <w:sz w:val="24"/>
          <w:szCs w:val="20"/>
        </w:rPr>
        <w:t>条道路，其中</w:t>
      </w:r>
      <w:r>
        <w:rPr>
          <w:rFonts w:hint="eastAsia" w:cs="Times New Roman" w:asciiTheme="minorEastAsia" w:hAnsiTheme="minorEastAsia"/>
          <w:sz w:val="24"/>
          <w:szCs w:val="20"/>
          <w:lang w:val="en-US" w:eastAsia="zh-CN"/>
        </w:rPr>
        <w:t>AK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273.323</w:t>
      </w:r>
      <w:r>
        <w:rPr>
          <w:rFonts w:hint="eastAsia" w:cs="Times New Roman" w:asciiTheme="minorEastAsia" w:hAnsiTheme="minorEastAsia"/>
          <w:sz w:val="24"/>
          <w:szCs w:val="20"/>
        </w:rPr>
        <w:t>m，</w:t>
      </w:r>
      <w:r>
        <w:rPr>
          <w:rFonts w:hint="eastAsia" w:cs="Times New Roman" w:asciiTheme="minorEastAsia" w:hAnsiTheme="minorEastAsia"/>
          <w:sz w:val="24"/>
          <w:szCs w:val="20"/>
          <w:lang w:eastAsia="zh-CN"/>
        </w:rPr>
        <w:t>大致</w:t>
      </w:r>
      <w:r>
        <w:rPr>
          <w:rFonts w:hint="eastAsia" w:cs="Times New Roman" w:asciiTheme="minorEastAsia" w:hAnsiTheme="minorEastAsia"/>
          <w:sz w:val="24"/>
          <w:szCs w:val="20"/>
        </w:rPr>
        <w:t>呈</w:t>
      </w:r>
      <w:r>
        <w:rPr>
          <w:rFonts w:hint="eastAsia" w:cs="Times New Roman" w:asciiTheme="minorEastAsia" w:hAnsiTheme="minorEastAsia"/>
          <w:sz w:val="24"/>
          <w:szCs w:val="20"/>
          <w:lang w:eastAsia="zh-CN"/>
        </w:rPr>
        <w:t>南</w:t>
      </w:r>
      <w:r>
        <w:rPr>
          <w:rFonts w:hint="eastAsia" w:cs="Times New Roman" w:asciiTheme="minorEastAsia" w:hAnsiTheme="minorEastAsia"/>
          <w:sz w:val="24"/>
          <w:szCs w:val="20"/>
        </w:rPr>
        <w:t>西</w:t>
      </w:r>
      <w:r>
        <w:rPr>
          <w:rFonts w:hint="eastAsia" w:cs="Times New Roman" w:asciiTheme="minorEastAsia" w:hAnsiTheme="minorEastAsia"/>
          <w:sz w:val="24"/>
          <w:szCs w:val="20"/>
          <w:lang w:eastAsia="zh-CN"/>
        </w:rPr>
        <w:t>北</w:t>
      </w:r>
      <w:r>
        <w:rPr>
          <w:rFonts w:hint="eastAsia" w:cs="Times New Roman" w:asciiTheme="minorEastAsia" w:hAnsiTheme="minorEastAsia"/>
          <w:sz w:val="24"/>
          <w:szCs w:val="20"/>
        </w:rPr>
        <w:t>向，</w:t>
      </w:r>
      <w:r>
        <w:rPr>
          <w:rFonts w:hint="eastAsia" w:cs="Times New Roman" w:asciiTheme="minorEastAsia" w:hAnsiTheme="minorEastAsia"/>
          <w:sz w:val="24"/>
          <w:szCs w:val="20"/>
          <w:lang w:eastAsia="zh-CN"/>
        </w:rPr>
        <w:t>平曲线最小半径为</w:t>
      </w:r>
      <w:r>
        <w:rPr>
          <w:rFonts w:hint="eastAsia" w:cs="Times New Roman" w:asciiTheme="minorEastAsia" w:hAnsiTheme="minorEastAsia"/>
          <w:sz w:val="24"/>
          <w:szCs w:val="20"/>
          <w:lang w:val="en-US" w:eastAsia="zh-CN"/>
        </w:rPr>
        <w:t>10m；BK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w:t>
      </w:r>
      <w:r>
        <w:rPr>
          <w:rFonts w:hint="eastAsia" w:cs="Times New Roman" w:asciiTheme="minorEastAsia" w:hAnsiTheme="minorEastAsia"/>
          <w:sz w:val="24"/>
          <w:szCs w:val="20"/>
          <w:lang w:val="en-US" w:eastAsia="zh-CN"/>
        </w:rPr>
        <w:t>CK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w:t>
      </w:r>
      <w:r>
        <w:rPr>
          <w:rFonts w:hint="eastAsia" w:cs="Times New Roman" w:asciiTheme="minorEastAsia" w:hAnsiTheme="minorEastAsia"/>
          <w:sz w:val="24"/>
          <w:szCs w:val="20"/>
          <w:lang w:val="en-US" w:eastAsia="zh-CN"/>
        </w:rPr>
        <w:t>DK</w:t>
      </w:r>
      <w:r>
        <w:rPr>
          <w:rFonts w:hint="eastAsia" w:cs="Times New Roman" w:asciiTheme="minorEastAsia" w:hAnsiTheme="minorEastAsia"/>
          <w:b/>
          <w:bCs/>
          <w:sz w:val="24"/>
          <w:szCs w:val="20"/>
        </w:rPr>
        <w:t>道路</w:t>
      </w:r>
      <w:r>
        <w:rPr>
          <w:rFonts w:hint="eastAsia" w:cs="Times New Roman" w:asciiTheme="minorEastAsia" w:hAnsiTheme="minorEastAsia"/>
          <w:b/>
          <w:bCs/>
          <w:sz w:val="24"/>
          <w:szCs w:val="20"/>
          <w:lang w:eastAsia="zh-CN"/>
        </w:rPr>
        <w:t>均</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133</w:t>
      </w:r>
      <w:r>
        <w:rPr>
          <w:rFonts w:hint="eastAsia" w:cs="Times New Roman" w:asciiTheme="minorEastAsia" w:hAnsiTheme="minorEastAsia"/>
          <w:sz w:val="24"/>
          <w:szCs w:val="20"/>
        </w:rPr>
        <w:t>m，大致呈东西走向</w:t>
      </w:r>
      <w:r>
        <w:rPr>
          <w:rFonts w:hint="eastAsia" w:cs="Times New Roman" w:asciiTheme="minorEastAsia" w:hAnsiTheme="minorEastAsia"/>
          <w:sz w:val="24"/>
          <w:szCs w:val="20"/>
          <w:lang w:eastAsia="zh-CN"/>
        </w:rPr>
        <w:t>，全路段均为直线段</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EK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40</w:t>
      </w:r>
      <w:r>
        <w:rPr>
          <w:rFonts w:hint="eastAsia" w:cs="Times New Roman" w:asciiTheme="minorEastAsia" w:hAnsiTheme="minorEastAsia"/>
          <w:sz w:val="24"/>
          <w:szCs w:val="20"/>
        </w:rPr>
        <w:t>m，</w:t>
      </w:r>
      <w:r>
        <w:rPr>
          <w:rFonts w:hint="eastAsia" w:cs="Times New Roman" w:asciiTheme="minorEastAsia" w:hAnsiTheme="minorEastAsia"/>
          <w:sz w:val="24"/>
          <w:szCs w:val="20"/>
          <w:lang w:eastAsia="zh-CN"/>
        </w:rPr>
        <w:t>大致</w:t>
      </w:r>
      <w:r>
        <w:rPr>
          <w:rFonts w:hint="eastAsia" w:cs="Times New Roman" w:asciiTheme="minorEastAsia" w:hAnsiTheme="minorEastAsia"/>
          <w:sz w:val="24"/>
          <w:szCs w:val="20"/>
        </w:rPr>
        <w:t>呈</w:t>
      </w:r>
      <w:r>
        <w:rPr>
          <w:rFonts w:hint="eastAsia" w:cs="Times New Roman" w:asciiTheme="minorEastAsia" w:hAnsiTheme="minorEastAsia"/>
          <w:sz w:val="24"/>
          <w:szCs w:val="20"/>
          <w:lang w:eastAsia="zh-CN"/>
        </w:rPr>
        <w:t>南</w:t>
      </w:r>
      <w:r>
        <w:rPr>
          <w:rFonts w:hint="eastAsia" w:cs="Times New Roman" w:asciiTheme="minorEastAsia" w:hAnsiTheme="minorEastAsia"/>
          <w:sz w:val="24"/>
          <w:szCs w:val="20"/>
        </w:rPr>
        <w:t>西</w:t>
      </w:r>
      <w:r>
        <w:rPr>
          <w:rFonts w:hint="eastAsia" w:cs="Times New Roman" w:asciiTheme="minorEastAsia" w:hAnsiTheme="minorEastAsia"/>
          <w:sz w:val="24"/>
          <w:szCs w:val="20"/>
          <w:lang w:eastAsia="zh-CN"/>
        </w:rPr>
        <w:t>北</w:t>
      </w:r>
      <w:r>
        <w:rPr>
          <w:rFonts w:hint="eastAsia" w:cs="Times New Roman" w:asciiTheme="minorEastAsia" w:hAnsiTheme="minorEastAsia"/>
          <w:sz w:val="24"/>
          <w:szCs w:val="20"/>
        </w:rPr>
        <w:t>向</w:t>
      </w:r>
      <w:r>
        <w:rPr>
          <w:rFonts w:hint="eastAsia" w:cs="Times New Roman" w:asciiTheme="minorEastAsia" w:hAnsiTheme="minorEastAsia"/>
          <w:sz w:val="24"/>
          <w:szCs w:val="20"/>
          <w:lang w:eastAsia="zh-CN"/>
        </w:rPr>
        <w:t>，全路段为直线段</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FK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40.751</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南北</w:t>
      </w:r>
      <w:r>
        <w:rPr>
          <w:rFonts w:hint="eastAsia" w:cs="Times New Roman" w:asciiTheme="minorEastAsia" w:hAnsiTheme="minorEastAsia"/>
          <w:sz w:val="24"/>
          <w:szCs w:val="20"/>
        </w:rPr>
        <w:t>走向</w:t>
      </w:r>
      <w:r>
        <w:rPr>
          <w:rFonts w:hint="eastAsia" w:cs="Times New Roman" w:asciiTheme="minorEastAsia" w:hAnsiTheme="minorEastAsia"/>
          <w:sz w:val="24"/>
          <w:szCs w:val="20"/>
          <w:lang w:eastAsia="zh-CN"/>
        </w:rPr>
        <w:t>，全路段为直线段</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GK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280.204</w:t>
      </w:r>
      <w:r>
        <w:rPr>
          <w:rFonts w:hint="eastAsia" w:cs="Times New Roman" w:asciiTheme="minorEastAsia" w:hAnsiTheme="minorEastAsia"/>
          <w:sz w:val="24"/>
          <w:szCs w:val="20"/>
        </w:rPr>
        <w:t>m，大致呈东西走向</w:t>
      </w:r>
      <w:r>
        <w:rPr>
          <w:rFonts w:hint="eastAsia" w:cs="Times New Roman" w:asciiTheme="minorEastAsia" w:hAnsiTheme="minorEastAsia"/>
          <w:sz w:val="24"/>
          <w:szCs w:val="20"/>
          <w:lang w:eastAsia="zh-CN"/>
        </w:rPr>
        <w:t>，平曲线最小半径为</w:t>
      </w:r>
      <w:r>
        <w:rPr>
          <w:rFonts w:hint="eastAsia" w:cs="Times New Roman" w:asciiTheme="minorEastAsia" w:hAnsiTheme="minorEastAsia"/>
          <w:sz w:val="24"/>
          <w:szCs w:val="20"/>
          <w:lang w:val="en-US" w:eastAsia="zh-CN"/>
        </w:rPr>
        <w:t>10m</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HK</w:t>
      </w:r>
      <w:r>
        <w:rPr>
          <w:rFonts w:hint="eastAsia" w:cs="Times New Roman" w:asciiTheme="minorEastAsia" w:hAnsiTheme="minorEastAsia"/>
          <w:b/>
          <w:bCs/>
          <w:sz w:val="24"/>
          <w:szCs w:val="20"/>
        </w:rPr>
        <w:t>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182.987</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东西</w:t>
      </w:r>
      <w:r>
        <w:rPr>
          <w:rFonts w:hint="eastAsia" w:cs="Times New Roman" w:asciiTheme="minorEastAsia" w:hAnsiTheme="minorEastAsia"/>
          <w:sz w:val="24"/>
          <w:szCs w:val="20"/>
        </w:rPr>
        <w:t>走向</w:t>
      </w:r>
      <w:r>
        <w:rPr>
          <w:rFonts w:hint="eastAsia" w:cs="Times New Roman" w:asciiTheme="minorEastAsia" w:hAnsiTheme="minorEastAsia"/>
          <w:sz w:val="24"/>
          <w:szCs w:val="20"/>
          <w:lang w:eastAsia="zh-CN"/>
        </w:rPr>
        <w:t>，平曲线最小半径为</w:t>
      </w:r>
      <w:r>
        <w:rPr>
          <w:rFonts w:hint="eastAsia" w:cs="Times New Roman" w:asciiTheme="minorEastAsia" w:hAnsiTheme="minorEastAsia"/>
          <w:sz w:val="24"/>
          <w:szCs w:val="20"/>
          <w:lang w:val="en-US" w:eastAsia="zh-CN"/>
        </w:rPr>
        <w:t>30m</w:t>
      </w:r>
      <w:r>
        <w:rPr>
          <w:rFonts w:hint="eastAsia" w:cs="Times New Roman" w:asciiTheme="minorEastAsia" w:hAnsiTheme="minorEastAsia"/>
          <w:sz w:val="24"/>
          <w:szCs w:val="20"/>
        </w:rPr>
        <w:t>；</w:t>
      </w:r>
      <w:r>
        <w:rPr>
          <w:rFonts w:hint="eastAsia" w:cs="Times New Roman" w:asciiTheme="minorEastAsia" w:hAnsiTheme="minorEastAsia"/>
          <w:b/>
          <w:sz w:val="24"/>
          <w:szCs w:val="20"/>
          <w:lang w:val="en-US" w:eastAsia="zh-CN"/>
        </w:rPr>
        <w:t>IK道路</w:t>
      </w:r>
      <w:r>
        <w:rPr>
          <w:rFonts w:hint="eastAsia" w:cs="Times New Roman" w:asciiTheme="minorEastAsia" w:hAnsiTheme="minorEastAsia"/>
          <w:sz w:val="24"/>
          <w:szCs w:val="20"/>
        </w:rPr>
        <w:t>长</w:t>
      </w:r>
      <w:r>
        <w:rPr>
          <w:rFonts w:hint="eastAsia" w:cs="Times New Roman" w:asciiTheme="minorEastAsia" w:hAnsiTheme="minorEastAsia"/>
          <w:sz w:val="24"/>
          <w:szCs w:val="20"/>
          <w:lang w:val="en-US" w:eastAsia="zh-CN"/>
        </w:rPr>
        <w:t>457.732</w:t>
      </w:r>
      <w:r>
        <w:rPr>
          <w:rFonts w:hint="eastAsia" w:cs="Times New Roman" w:asciiTheme="minorEastAsia" w:hAnsiTheme="minorEastAsia"/>
          <w:sz w:val="24"/>
          <w:szCs w:val="20"/>
        </w:rPr>
        <w:t>m，大致呈</w:t>
      </w:r>
      <w:r>
        <w:rPr>
          <w:rFonts w:hint="eastAsia" w:cs="Times New Roman" w:asciiTheme="minorEastAsia" w:hAnsiTheme="minorEastAsia"/>
          <w:sz w:val="24"/>
          <w:szCs w:val="20"/>
          <w:lang w:eastAsia="zh-CN"/>
        </w:rPr>
        <w:t>环形道路，平曲线最小半径为</w:t>
      </w:r>
      <w:r>
        <w:rPr>
          <w:rFonts w:hint="eastAsia" w:cs="Times New Roman" w:asciiTheme="minorEastAsia" w:hAnsiTheme="minorEastAsia"/>
          <w:sz w:val="24"/>
          <w:szCs w:val="20"/>
          <w:lang w:val="en-US" w:eastAsia="zh-CN"/>
        </w:rPr>
        <w:t>10m</w:t>
      </w:r>
      <w:r>
        <w:rPr>
          <w:rFonts w:hint="eastAsia" w:cs="Times New Roman" w:asciiTheme="minorEastAsia" w:hAnsiTheme="minorEastAsia"/>
          <w:sz w:val="24"/>
          <w:szCs w:val="20"/>
          <w:lang w:eastAsia="zh-CN"/>
        </w:rPr>
        <w:t>；</w:t>
      </w:r>
      <w:r>
        <w:rPr>
          <w:rFonts w:hint="eastAsia" w:cs="Times New Roman" w:asciiTheme="minorEastAsia" w:hAnsiTheme="minorEastAsia"/>
          <w:b/>
          <w:bCs/>
          <w:sz w:val="24"/>
          <w:szCs w:val="20"/>
          <w:lang w:val="en-US" w:eastAsia="zh-CN"/>
        </w:rPr>
        <w:t>JK道路</w:t>
      </w:r>
      <w:r>
        <w:rPr>
          <w:rFonts w:hint="eastAsia" w:cs="Times New Roman" w:asciiTheme="minorEastAsia" w:hAnsiTheme="minorEastAsia"/>
          <w:b w:val="0"/>
          <w:bCs w:val="0"/>
          <w:sz w:val="24"/>
          <w:szCs w:val="20"/>
          <w:lang w:val="en-US" w:eastAsia="zh-CN"/>
        </w:rPr>
        <w:t>长189.879m，大致呈东西走向</w:t>
      </w:r>
      <w:r>
        <w:rPr>
          <w:rFonts w:hint="eastAsia" w:cs="Times New Roman" w:asciiTheme="minorEastAsia" w:hAnsiTheme="minorEastAsia"/>
          <w:sz w:val="24"/>
          <w:szCs w:val="20"/>
          <w:lang w:eastAsia="zh-CN"/>
        </w:rPr>
        <w:t>，平曲线最小半径为</w:t>
      </w:r>
      <w:r>
        <w:rPr>
          <w:rFonts w:hint="eastAsia" w:cs="Times New Roman" w:asciiTheme="minorEastAsia" w:hAnsiTheme="minorEastAsia"/>
          <w:sz w:val="24"/>
          <w:szCs w:val="20"/>
          <w:lang w:val="en-US" w:eastAsia="zh-CN"/>
        </w:rPr>
        <w:t>10m；</w:t>
      </w:r>
      <w:r>
        <w:rPr>
          <w:rFonts w:hint="eastAsia" w:cs="Times New Roman" w:asciiTheme="minorEastAsia" w:hAnsiTheme="minorEastAsia"/>
          <w:b/>
          <w:bCs/>
          <w:sz w:val="24"/>
          <w:szCs w:val="20"/>
          <w:lang w:val="en-US" w:eastAsia="zh-CN"/>
        </w:rPr>
        <w:t>KK道路</w:t>
      </w:r>
      <w:r>
        <w:rPr>
          <w:rFonts w:hint="eastAsia" w:cs="Times New Roman" w:asciiTheme="minorEastAsia" w:hAnsiTheme="minorEastAsia"/>
          <w:b w:val="0"/>
          <w:bCs w:val="0"/>
          <w:sz w:val="24"/>
          <w:szCs w:val="20"/>
          <w:lang w:val="en-US" w:eastAsia="zh-CN"/>
        </w:rPr>
        <w:t>长132.022m，大致呈东西走向</w:t>
      </w:r>
      <w:r>
        <w:rPr>
          <w:rFonts w:hint="eastAsia" w:cs="Times New Roman" w:asciiTheme="minorEastAsia" w:hAnsiTheme="minorEastAsia"/>
          <w:sz w:val="24"/>
          <w:szCs w:val="20"/>
          <w:lang w:eastAsia="zh-CN"/>
        </w:rPr>
        <w:t>，平曲线最小半径为</w:t>
      </w:r>
      <w:r>
        <w:rPr>
          <w:rFonts w:hint="eastAsia" w:cs="Times New Roman" w:asciiTheme="minorEastAsia" w:hAnsiTheme="minorEastAsia"/>
          <w:sz w:val="24"/>
          <w:szCs w:val="20"/>
          <w:lang w:val="en-US" w:eastAsia="zh-CN"/>
        </w:rPr>
        <w:t>100m</w:t>
      </w:r>
      <w:r>
        <w:rPr>
          <w:rFonts w:hint="eastAsia" w:cs="Times New Roman" w:asciiTheme="minorEastAsia" w:hAnsiTheme="minorEastAsia"/>
          <w:b w:val="0"/>
          <w:bCs w:val="0"/>
          <w:sz w:val="24"/>
          <w:szCs w:val="20"/>
          <w:lang w:val="en-US" w:eastAsia="zh-CN"/>
        </w:rPr>
        <w:t>。</w:t>
      </w:r>
      <w:r>
        <w:rPr>
          <w:rFonts w:hint="eastAsia" w:cs="Times New Roman" w:asciiTheme="minorEastAsia" w:hAnsiTheme="minorEastAsia"/>
          <w:sz w:val="24"/>
          <w:szCs w:val="20"/>
          <w:lang w:val="en-US" w:eastAsia="zh-CN"/>
        </w:rPr>
        <w:t>由于</w:t>
      </w:r>
      <w:r>
        <w:rPr>
          <w:rFonts w:hint="eastAsia" w:cs="Times New Roman" w:asciiTheme="minorEastAsia" w:hAnsiTheme="minorEastAsia"/>
          <w:sz w:val="24"/>
          <w:szCs w:val="20"/>
          <w:lang w:eastAsia="zh-CN"/>
        </w:rPr>
        <w:t>本项目为安置区内部道路，安置区建筑主体现已建成，受用地及现状建筑限制，本次设计所有道路</w:t>
      </w:r>
      <w:r>
        <w:rPr>
          <w:rFonts w:hint="eastAsia" w:cs="Times New Roman" w:asciiTheme="minorEastAsia" w:hAnsiTheme="minorEastAsia"/>
          <w:sz w:val="24"/>
          <w:szCs w:val="20"/>
        </w:rPr>
        <w:t>宽</w:t>
      </w:r>
      <w:r>
        <w:rPr>
          <w:rFonts w:hint="eastAsia" w:cs="Times New Roman" w:asciiTheme="minorEastAsia" w:hAnsiTheme="minorEastAsia"/>
          <w:sz w:val="24"/>
          <w:szCs w:val="20"/>
          <w:lang w:eastAsia="zh-CN"/>
        </w:rPr>
        <w:t>度均</w:t>
      </w:r>
      <w:r>
        <w:rPr>
          <w:rFonts w:hint="eastAsia" w:cs="Times New Roman" w:asciiTheme="minorEastAsia" w:hAnsiTheme="minorEastAsia"/>
          <w:sz w:val="24"/>
          <w:szCs w:val="20"/>
        </w:rPr>
        <w:t>为</w:t>
      </w:r>
      <w:r>
        <w:rPr>
          <w:rFonts w:hint="eastAsia" w:cs="Times New Roman" w:asciiTheme="minorEastAsia" w:hAnsiTheme="minorEastAsia"/>
          <w:sz w:val="24"/>
          <w:szCs w:val="20"/>
          <w:lang w:val="en-US" w:eastAsia="zh-CN"/>
        </w:rPr>
        <w:t>5.0</w:t>
      </w:r>
      <w:r>
        <w:rPr>
          <w:rFonts w:hint="eastAsia" w:cs="Times New Roman" w:asciiTheme="minorEastAsia" w:hAnsiTheme="minorEastAsia"/>
          <w:sz w:val="24"/>
          <w:szCs w:val="20"/>
        </w:rPr>
        <w:t>m。</w:t>
      </w:r>
    </w:p>
    <w:p w14:paraId="5F0657AC">
      <w:pPr>
        <w:numPr>
          <w:ilvl w:val="0"/>
          <w:numId w:val="1"/>
        </w:numPr>
        <w:snapToGrid w:val="0"/>
        <w:spacing w:line="360" w:lineRule="auto"/>
        <w:ind w:firstLine="475" w:firstLineChars="197"/>
        <w:rPr>
          <w:rFonts w:asciiTheme="minorEastAsia" w:hAnsiTheme="minorEastAsia"/>
          <w:b/>
          <w:sz w:val="24"/>
        </w:rPr>
      </w:pPr>
      <w:r>
        <w:rPr>
          <w:rFonts w:hint="eastAsia" w:asciiTheme="minorEastAsia" w:hAnsiTheme="minorEastAsia"/>
          <w:b/>
          <w:sz w:val="24"/>
        </w:rPr>
        <w:t>超高加宽设计</w:t>
      </w:r>
    </w:p>
    <w:p w14:paraId="2967F158">
      <w:pPr>
        <w:widowControl/>
        <w:spacing w:line="360" w:lineRule="auto"/>
        <w:ind w:firstLine="480" w:firstLineChars="200"/>
        <w:rPr>
          <w:rFonts w:asciiTheme="minorEastAsia" w:hAnsiTheme="minorEastAsia"/>
          <w:color w:val="000000"/>
          <w:kern w:val="0"/>
          <w:sz w:val="24"/>
        </w:rPr>
      </w:pPr>
      <w:r>
        <w:rPr>
          <w:rFonts w:hint="eastAsia" w:asciiTheme="minorEastAsia" w:hAnsiTheme="minorEastAsia"/>
          <w:color w:val="000000"/>
          <w:kern w:val="0"/>
          <w:sz w:val="24"/>
        </w:rPr>
        <w:t>本项目</w:t>
      </w:r>
      <w:r>
        <w:rPr>
          <w:rFonts w:hint="eastAsia" w:asciiTheme="minorEastAsia" w:hAnsiTheme="minorEastAsia"/>
          <w:color w:val="000000"/>
          <w:kern w:val="0"/>
          <w:sz w:val="24"/>
          <w:lang w:eastAsia="zh-CN"/>
        </w:rPr>
        <w:t>为</w:t>
      </w:r>
      <w:r>
        <w:rPr>
          <w:rFonts w:hint="eastAsia" w:cs="Times New Roman" w:asciiTheme="minorEastAsia" w:hAnsiTheme="minorEastAsia"/>
          <w:b/>
          <w:sz w:val="24"/>
          <w:szCs w:val="20"/>
          <w:lang w:eastAsia="zh-CN"/>
        </w:rPr>
        <w:t>基地内</w:t>
      </w:r>
      <w:r>
        <w:rPr>
          <w:rFonts w:hint="eastAsia" w:cs="Times New Roman" w:asciiTheme="minorEastAsia" w:hAnsiTheme="minorEastAsia"/>
          <w:b/>
          <w:sz w:val="24"/>
          <w:szCs w:val="20"/>
          <w:lang w:val="en-US" w:eastAsia="zh-CN"/>
        </w:rPr>
        <w:t>部</w:t>
      </w:r>
      <w:r>
        <w:rPr>
          <w:rFonts w:hint="eastAsia" w:cs="Times New Roman" w:asciiTheme="minorEastAsia" w:hAnsiTheme="minorEastAsia"/>
          <w:b/>
          <w:sz w:val="24"/>
          <w:szCs w:val="20"/>
          <w:lang w:eastAsia="zh-CN"/>
        </w:rPr>
        <w:t>道路，</w:t>
      </w:r>
      <w:r>
        <w:rPr>
          <w:rFonts w:hint="eastAsia"/>
          <w:b/>
          <w:sz w:val="24"/>
          <w:szCs w:val="24"/>
          <w:lang w:eastAsia="zh-CN"/>
        </w:rPr>
        <w:t>均</w:t>
      </w:r>
      <w:r>
        <w:rPr>
          <w:rFonts w:hint="eastAsia" w:asciiTheme="minorEastAsia" w:hAnsiTheme="minorEastAsia"/>
          <w:b/>
          <w:sz w:val="24"/>
        </w:rPr>
        <w:t>按现状土路线位进行设计，且受限于土路两侧用地及建筑，故本次设计</w:t>
      </w:r>
      <w:r>
        <w:rPr>
          <w:rFonts w:hint="eastAsia" w:asciiTheme="minorEastAsia" w:hAnsiTheme="minorEastAsia"/>
          <w:b/>
          <w:sz w:val="24"/>
          <w:lang w:val="en-US" w:eastAsia="zh-CN"/>
        </w:rPr>
        <w:t>仅做超高设计，</w:t>
      </w:r>
      <w:r>
        <w:rPr>
          <w:rFonts w:hint="eastAsia" w:asciiTheme="minorEastAsia" w:hAnsiTheme="minorEastAsia"/>
          <w:b/>
          <w:sz w:val="24"/>
        </w:rPr>
        <w:t>不做加宽设计。</w:t>
      </w:r>
    </w:p>
    <w:p w14:paraId="65244947">
      <w:pPr>
        <w:pStyle w:val="6"/>
        <w:spacing w:beforeLines="0"/>
        <w:rPr>
          <w:rFonts w:asciiTheme="minorEastAsia" w:hAnsiTheme="minorEastAsia" w:eastAsiaTheme="minorEastAsia"/>
        </w:rPr>
      </w:pPr>
      <w:bookmarkStart w:id="15" w:name="_Toc134264484"/>
      <w:bookmarkStart w:id="16" w:name="_Toc134264246"/>
      <w:r>
        <w:rPr>
          <w:rFonts w:hint="eastAsia" w:asciiTheme="minorEastAsia" w:hAnsiTheme="minorEastAsia" w:eastAsiaTheme="minorEastAsia"/>
          <w:lang w:val="en-US" w:eastAsia="zh-CN"/>
        </w:rPr>
        <w:t>3</w:t>
      </w:r>
      <w:r>
        <w:rPr>
          <w:rFonts w:asciiTheme="minorEastAsia" w:hAnsiTheme="minorEastAsia" w:eastAsiaTheme="minorEastAsia"/>
        </w:rPr>
        <w:t>.4纵断面设计</w:t>
      </w:r>
      <w:bookmarkEnd w:id="15"/>
      <w:bookmarkEnd w:id="16"/>
    </w:p>
    <w:p w14:paraId="36E247B4">
      <w:pPr>
        <w:widowControl/>
        <w:spacing w:line="360" w:lineRule="auto"/>
        <w:ind w:firstLine="482" w:firstLineChars="200"/>
        <w:rPr>
          <w:rFonts w:hint="eastAsia" w:asciiTheme="minorEastAsia" w:hAnsiTheme="minorEastAsia" w:eastAsiaTheme="minorEastAsia"/>
          <w:kern w:val="0"/>
          <w:sz w:val="24"/>
          <w:lang w:val="en-US" w:eastAsia="zh-CN"/>
        </w:rPr>
      </w:pPr>
      <w:r>
        <w:rPr>
          <w:rFonts w:hint="eastAsia" w:asciiTheme="minorEastAsia" w:hAnsiTheme="minorEastAsia"/>
          <w:b/>
          <w:sz w:val="24"/>
          <w:lang w:eastAsia="zh-CN"/>
        </w:rPr>
        <w:t>本项目所有道路</w:t>
      </w:r>
      <w:r>
        <w:rPr>
          <w:rFonts w:hint="eastAsia" w:ascii="宋体" w:hAnsi="宋体"/>
          <w:sz w:val="24"/>
          <w:szCs w:val="24"/>
          <w:lang w:eastAsia="zh-CN"/>
        </w:rPr>
        <w:t>均</w:t>
      </w:r>
      <w:r>
        <w:rPr>
          <w:rFonts w:hint="eastAsia" w:ascii="宋体" w:hAnsi="宋体"/>
          <w:sz w:val="24"/>
          <w:szCs w:val="24"/>
        </w:rPr>
        <w:t>以现状土路标高及周边</w:t>
      </w:r>
      <w:r>
        <w:rPr>
          <w:rFonts w:hint="eastAsia" w:ascii="宋体" w:hAnsi="宋体"/>
          <w:sz w:val="24"/>
          <w:szCs w:val="24"/>
          <w:lang w:eastAsia="zh-CN"/>
        </w:rPr>
        <w:t>建筑室内</w:t>
      </w:r>
      <w:r>
        <w:rPr>
          <w:rFonts w:hint="eastAsia" w:ascii="宋体" w:hAnsi="宋体"/>
          <w:sz w:val="24"/>
          <w:szCs w:val="24"/>
        </w:rPr>
        <w:t>标高进行控制，设计坡度拟合现状土路纵坡度</w:t>
      </w:r>
      <w:r>
        <w:rPr>
          <w:rFonts w:hint="eastAsia" w:ascii="宋体" w:hAnsi="宋体"/>
          <w:sz w:val="24"/>
          <w:szCs w:val="24"/>
          <w:lang w:eastAsia="zh-CN"/>
        </w:rPr>
        <w:t>以及建筑室内标高</w:t>
      </w:r>
      <w:r>
        <w:rPr>
          <w:rFonts w:hint="eastAsia" w:ascii="宋体" w:hAnsi="宋体"/>
          <w:sz w:val="24"/>
          <w:szCs w:val="24"/>
        </w:rPr>
        <w:t>进行拉坡设计，其中</w:t>
      </w:r>
      <w:r>
        <w:rPr>
          <w:rFonts w:hint="eastAsia" w:ascii="宋体" w:hAnsi="宋体"/>
          <w:sz w:val="24"/>
          <w:szCs w:val="24"/>
          <w:lang w:val="en-US" w:eastAsia="zh-CN"/>
        </w:rPr>
        <w:t>AK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7.598</w:t>
      </w:r>
      <w:r>
        <w:rPr>
          <w:rFonts w:hint="eastAsia" w:ascii="宋体" w:hAnsi="宋体"/>
          <w:sz w:val="24"/>
          <w:szCs w:val="24"/>
        </w:rPr>
        <w:t>%，竖曲线半径为1</w:t>
      </w:r>
      <w:r>
        <w:rPr>
          <w:rFonts w:hint="eastAsia" w:ascii="宋体" w:hAnsi="宋体"/>
          <w:sz w:val="24"/>
          <w:szCs w:val="24"/>
          <w:lang w:val="en-US" w:eastAsia="zh-CN"/>
        </w:rPr>
        <w:t>0</w:t>
      </w:r>
      <w:r>
        <w:rPr>
          <w:rFonts w:hint="eastAsia" w:ascii="宋体" w:hAnsi="宋体"/>
          <w:sz w:val="24"/>
          <w:szCs w:val="24"/>
        </w:rPr>
        <w:t>00m；</w:t>
      </w:r>
      <w:r>
        <w:rPr>
          <w:rFonts w:hint="eastAsia" w:ascii="宋体" w:hAnsi="宋体"/>
          <w:sz w:val="24"/>
          <w:szCs w:val="24"/>
          <w:lang w:val="en-US" w:eastAsia="zh-CN"/>
        </w:rPr>
        <w:t>BK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3.625</w:t>
      </w:r>
      <w:r>
        <w:rPr>
          <w:rFonts w:hint="eastAsia" w:ascii="宋体" w:hAnsi="宋体"/>
          <w:sz w:val="24"/>
          <w:szCs w:val="24"/>
        </w:rPr>
        <w:t>%，竖曲线半径为</w:t>
      </w:r>
      <w:r>
        <w:rPr>
          <w:rFonts w:hint="eastAsia" w:ascii="宋体" w:hAnsi="宋体"/>
          <w:sz w:val="24"/>
          <w:szCs w:val="24"/>
          <w:lang w:val="en-US" w:eastAsia="zh-CN"/>
        </w:rPr>
        <w:t>50</w:t>
      </w:r>
      <w:r>
        <w:rPr>
          <w:rFonts w:hint="eastAsia" w:ascii="宋体" w:hAnsi="宋体"/>
          <w:sz w:val="24"/>
          <w:szCs w:val="24"/>
        </w:rPr>
        <w:t>00m；</w:t>
      </w:r>
      <w:r>
        <w:rPr>
          <w:rFonts w:hint="eastAsia" w:ascii="宋体" w:hAnsi="宋体"/>
          <w:sz w:val="24"/>
          <w:szCs w:val="24"/>
          <w:lang w:val="en-US" w:eastAsia="zh-CN"/>
        </w:rPr>
        <w:t>CK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3.906</w:t>
      </w:r>
      <w:r>
        <w:rPr>
          <w:rFonts w:hint="eastAsia" w:ascii="宋体" w:hAnsi="宋体"/>
          <w:sz w:val="24"/>
          <w:szCs w:val="24"/>
        </w:rPr>
        <w:t>%，竖曲线半径为</w:t>
      </w:r>
      <w:r>
        <w:rPr>
          <w:rFonts w:hint="eastAsia" w:ascii="宋体" w:hAnsi="宋体"/>
          <w:sz w:val="24"/>
          <w:szCs w:val="24"/>
          <w:lang w:val="en-US" w:eastAsia="zh-CN"/>
        </w:rPr>
        <w:t>40</w:t>
      </w:r>
      <w:r>
        <w:rPr>
          <w:rFonts w:hint="eastAsia" w:ascii="宋体" w:hAnsi="宋体"/>
          <w:sz w:val="24"/>
          <w:szCs w:val="24"/>
        </w:rPr>
        <w:t>00m；</w:t>
      </w:r>
      <w:r>
        <w:rPr>
          <w:rFonts w:hint="eastAsia" w:ascii="宋体" w:hAnsi="宋体"/>
          <w:sz w:val="24"/>
          <w:szCs w:val="24"/>
          <w:lang w:val="en-US" w:eastAsia="zh-CN"/>
        </w:rPr>
        <w:t>DK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6.957</w:t>
      </w:r>
      <w:r>
        <w:rPr>
          <w:rFonts w:hint="eastAsia" w:ascii="宋体" w:hAnsi="宋体"/>
          <w:sz w:val="24"/>
          <w:szCs w:val="24"/>
        </w:rPr>
        <w:t>%，竖曲线半径为1</w:t>
      </w:r>
      <w:r>
        <w:rPr>
          <w:rFonts w:hint="eastAsia" w:ascii="宋体" w:hAnsi="宋体"/>
          <w:sz w:val="24"/>
          <w:szCs w:val="24"/>
          <w:lang w:val="en-US" w:eastAsia="zh-CN"/>
        </w:rPr>
        <w:t>5</w:t>
      </w:r>
      <w:r>
        <w:rPr>
          <w:rFonts w:hint="eastAsia" w:ascii="宋体" w:hAnsi="宋体"/>
          <w:sz w:val="24"/>
          <w:szCs w:val="24"/>
        </w:rPr>
        <w:t>00m；</w:t>
      </w:r>
      <w:r>
        <w:rPr>
          <w:rFonts w:hint="eastAsia" w:ascii="宋体" w:hAnsi="宋体"/>
          <w:sz w:val="24"/>
          <w:szCs w:val="24"/>
          <w:lang w:val="en-US" w:eastAsia="zh-CN"/>
        </w:rPr>
        <w:t>EK</w:t>
      </w:r>
      <w:r>
        <w:rPr>
          <w:rFonts w:hint="eastAsia" w:ascii="宋体" w:hAnsi="宋体"/>
          <w:b/>
          <w:sz w:val="24"/>
          <w:szCs w:val="24"/>
        </w:rPr>
        <w:t>道路</w:t>
      </w:r>
      <w:r>
        <w:rPr>
          <w:rFonts w:hint="eastAsia" w:ascii="宋体" w:hAnsi="宋体"/>
          <w:sz w:val="24"/>
          <w:szCs w:val="24"/>
        </w:rPr>
        <w:t>纵坡为</w:t>
      </w:r>
      <w:r>
        <w:rPr>
          <w:rFonts w:hint="eastAsia" w:ascii="宋体" w:hAnsi="宋体"/>
          <w:sz w:val="24"/>
          <w:szCs w:val="24"/>
          <w:lang w:val="en-US" w:eastAsia="zh-CN"/>
        </w:rPr>
        <w:t>7.850</w:t>
      </w:r>
      <w:r>
        <w:rPr>
          <w:rFonts w:hint="eastAsia" w:ascii="宋体" w:hAnsi="宋体"/>
          <w:sz w:val="24"/>
          <w:szCs w:val="24"/>
        </w:rPr>
        <w:t>%，</w:t>
      </w:r>
      <w:r>
        <w:rPr>
          <w:rFonts w:hint="eastAsia" w:ascii="宋体" w:hAnsi="宋体"/>
          <w:sz w:val="24"/>
          <w:szCs w:val="24"/>
          <w:lang w:eastAsia="zh-CN"/>
        </w:rPr>
        <w:t>不另设</w:t>
      </w:r>
      <w:r>
        <w:rPr>
          <w:rFonts w:hint="eastAsia" w:ascii="宋体" w:hAnsi="宋体"/>
          <w:sz w:val="24"/>
          <w:szCs w:val="24"/>
        </w:rPr>
        <w:t>竖曲线；</w:t>
      </w:r>
      <w:r>
        <w:rPr>
          <w:rFonts w:hint="eastAsia" w:ascii="宋体" w:hAnsi="宋体"/>
          <w:sz w:val="24"/>
          <w:szCs w:val="24"/>
          <w:lang w:val="en-US" w:eastAsia="zh-CN"/>
        </w:rPr>
        <w:t>FK</w:t>
      </w:r>
      <w:r>
        <w:rPr>
          <w:rFonts w:hint="eastAsia" w:ascii="宋体" w:hAnsi="宋体"/>
          <w:b/>
          <w:sz w:val="24"/>
          <w:szCs w:val="24"/>
        </w:rPr>
        <w:t>道路</w:t>
      </w:r>
      <w:r>
        <w:rPr>
          <w:rFonts w:hint="eastAsia" w:ascii="宋体" w:hAnsi="宋体"/>
          <w:sz w:val="24"/>
          <w:szCs w:val="24"/>
        </w:rPr>
        <w:t>纵坡为</w:t>
      </w:r>
      <w:r>
        <w:rPr>
          <w:rFonts w:hint="eastAsia" w:ascii="宋体" w:hAnsi="宋体"/>
          <w:sz w:val="24"/>
          <w:szCs w:val="24"/>
          <w:lang w:val="en-US" w:eastAsia="zh-CN"/>
        </w:rPr>
        <w:t>7.877</w:t>
      </w:r>
      <w:r>
        <w:rPr>
          <w:rFonts w:hint="eastAsia" w:ascii="宋体" w:hAnsi="宋体"/>
          <w:sz w:val="24"/>
          <w:szCs w:val="24"/>
        </w:rPr>
        <w:t>%，</w:t>
      </w:r>
      <w:r>
        <w:rPr>
          <w:rFonts w:hint="eastAsia" w:ascii="宋体" w:hAnsi="宋体"/>
          <w:sz w:val="24"/>
          <w:szCs w:val="24"/>
          <w:lang w:eastAsia="zh-CN"/>
        </w:rPr>
        <w:t>不另设</w:t>
      </w:r>
      <w:r>
        <w:rPr>
          <w:rFonts w:hint="eastAsia" w:ascii="宋体" w:hAnsi="宋体"/>
          <w:sz w:val="24"/>
          <w:szCs w:val="24"/>
        </w:rPr>
        <w:t>竖曲线；</w:t>
      </w:r>
      <w:r>
        <w:rPr>
          <w:rFonts w:hint="eastAsia" w:ascii="宋体" w:hAnsi="宋体"/>
          <w:sz w:val="24"/>
          <w:szCs w:val="24"/>
          <w:lang w:val="en-US" w:eastAsia="zh-CN"/>
        </w:rPr>
        <w:t>GK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7.959</w:t>
      </w:r>
      <w:r>
        <w:rPr>
          <w:rFonts w:hint="eastAsia" w:ascii="宋体" w:hAnsi="宋体"/>
          <w:sz w:val="24"/>
          <w:szCs w:val="24"/>
        </w:rPr>
        <w:t>%，竖曲线半径为1</w:t>
      </w:r>
      <w:r>
        <w:rPr>
          <w:rFonts w:hint="eastAsia" w:ascii="宋体" w:hAnsi="宋体"/>
          <w:sz w:val="24"/>
          <w:szCs w:val="24"/>
          <w:lang w:val="en-US" w:eastAsia="zh-CN"/>
        </w:rPr>
        <w:t>5</w:t>
      </w:r>
      <w:r>
        <w:rPr>
          <w:rFonts w:hint="eastAsia" w:ascii="宋体" w:hAnsi="宋体"/>
          <w:sz w:val="24"/>
          <w:szCs w:val="24"/>
        </w:rPr>
        <w:t>00m；</w:t>
      </w:r>
      <w:r>
        <w:rPr>
          <w:rFonts w:hint="eastAsia" w:ascii="宋体" w:hAnsi="宋体"/>
          <w:sz w:val="24"/>
          <w:szCs w:val="24"/>
          <w:lang w:val="en-US" w:eastAsia="zh-CN"/>
        </w:rPr>
        <w:t>HK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5.003</w:t>
      </w:r>
      <w:r>
        <w:rPr>
          <w:rFonts w:hint="eastAsia" w:ascii="宋体" w:hAnsi="宋体"/>
          <w:sz w:val="24"/>
          <w:szCs w:val="24"/>
        </w:rPr>
        <w:t>%，竖曲线半径为1</w:t>
      </w:r>
      <w:r>
        <w:rPr>
          <w:rFonts w:hint="eastAsia" w:ascii="宋体" w:hAnsi="宋体"/>
          <w:sz w:val="24"/>
          <w:szCs w:val="24"/>
          <w:lang w:val="en-US" w:eastAsia="zh-CN"/>
        </w:rPr>
        <w:t>0</w:t>
      </w:r>
      <w:r>
        <w:rPr>
          <w:rFonts w:hint="eastAsia" w:ascii="宋体" w:hAnsi="宋体"/>
          <w:sz w:val="24"/>
          <w:szCs w:val="24"/>
        </w:rPr>
        <w:t>00m；</w:t>
      </w:r>
      <w:r>
        <w:rPr>
          <w:rFonts w:hint="eastAsia" w:ascii="宋体" w:hAnsi="宋体"/>
          <w:sz w:val="24"/>
          <w:szCs w:val="24"/>
          <w:lang w:val="en-US" w:eastAsia="zh-CN"/>
        </w:rPr>
        <w:t>IK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7.876</w:t>
      </w:r>
      <w:r>
        <w:rPr>
          <w:rFonts w:hint="eastAsia" w:ascii="宋体" w:hAnsi="宋体"/>
          <w:sz w:val="24"/>
          <w:szCs w:val="24"/>
        </w:rPr>
        <w:t>%，竖曲线半径为</w:t>
      </w:r>
      <w:r>
        <w:rPr>
          <w:rFonts w:hint="eastAsia" w:ascii="宋体" w:hAnsi="宋体"/>
          <w:sz w:val="24"/>
          <w:szCs w:val="24"/>
          <w:lang w:val="en-US" w:eastAsia="zh-CN"/>
        </w:rPr>
        <w:t>30</w:t>
      </w:r>
      <w:r>
        <w:rPr>
          <w:rFonts w:hint="eastAsia" w:ascii="宋体" w:hAnsi="宋体"/>
          <w:sz w:val="24"/>
          <w:szCs w:val="24"/>
        </w:rPr>
        <w:t>00m；</w:t>
      </w:r>
      <w:r>
        <w:rPr>
          <w:rFonts w:hint="eastAsia" w:ascii="宋体" w:hAnsi="宋体"/>
          <w:sz w:val="24"/>
          <w:szCs w:val="24"/>
          <w:lang w:val="en-US" w:eastAsia="zh-CN"/>
        </w:rPr>
        <w:t>JK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3.673</w:t>
      </w:r>
      <w:r>
        <w:rPr>
          <w:rFonts w:hint="eastAsia" w:ascii="宋体" w:hAnsi="宋体"/>
          <w:sz w:val="24"/>
          <w:szCs w:val="24"/>
        </w:rPr>
        <w:t>%，竖曲线半径为1</w:t>
      </w:r>
      <w:r>
        <w:rPr>
          <w:rFonts w:hint="eastAsia" w:ascii="宋体" w:hAnsi="宋体"/>
          <w:sz w:val="24"/>
          <w:szCs w:val="24"/>
          <w:lang w:val="en-US" w:eastAsia="zh-CN"/>
        </w:rPr>
        <w:t>0</w:t>
      </w:r>
      <w:r>
        <w:rPr>
          <w:rFonts w:hint="eastAsia" w:ascii="宋体" w:hAnsi="宋体"/>
          <w:sz w:val="24"/>
          <w:szCs w:val="24"/>
        </w:rPr>
        <w:t>00m；</w:t>
      </w:r>
      <w:r>
        <w:rPr>
          <w:rFonts w:hint="eastAsia" w:ascii="宋体" w:hAnsi="宋体"/>
          <w:sz w:val="24"/>
          <w:szCs w:val="24"/>
          <w:lang w:val="en-US" w:eastAsia="zh-CN"/>
        </w:rPr>
        <w:t>KK</w:t>
      </w:r>
      <w:r>
        <w:rPr>
          <w:rFonts w:hint="eastAsia" w:ascii="宋体" w:hAnsi="宋体"/>
          <w:b/>
          <w:sz w:val="24"/>
          <w:szCs w:val="24"/>
        </w:rPr>
        <w:t>道路</w:t>
      </w:r>
      <w:r>
        <w:rPr>
          <w:rFonts w:hint="eastAsia" w:ascii="宋体" w:hAnsi="宋体"/>
          <w:sz w:val="24"/>
          <w:szCs w:val="24"/>
        </w:rPr>
        <w:t>最大纵坡为</w:t>
      </w:r>
      <w:r>
        <w:rPr>
          <w:rFonts w:hint="eastAsia" w:ascii="宋体" w:hAnsi="宋体"/>
          <w:sz w:val="24"/>
          <w:szCs w:val="24"/>
          <w:lang w:val="en-US" w:eastAsia="zh-CN"/>
        </w:rPr>
        <w:t>4.504</w:t>
      </w:r>
      <w:r>
        <w:rPr>
          <w:rFonts w:hint="eastAsia" w:ascii="宋体" w:hAnsi="宋体"/>
          <w:sz w:val="24"/>
          <w:szCs w:val="24"/>
        </w:rPr>
        <w:t>%，竖曲线半径为</w:t>
      </w:r>
      <w:r>
        <w:rPr>
          <w:rFonts w:hint="eastAsia" w:ascii="宋体" w:hAnsi="宋体"/>
          <w:sz w:val="24"/>
          <w:szCs w:val="24"/>
          <w:lang w:val="en-US" w:eastAsia="zh-CN"/>
        </w:rPr>
        <w:t>20</w:t>
      </w:r>
      <w:r>
        <w:rPr>
          <w:rFonts w:hint="eastAsia" w:ascii="宋体" w:hAnsi="宋体"/>
          <w:sz w:val="24"/>
          <w:szCs w:val="24"/>
        </w:rPr>
        <w:t>00m</w:t>
      </w:r>
      <w:r>
        <w:rPr>
          <w:rFonts w:hint="eastAsia" w:ascii="宋体" w:hAnsi="宋体"/>
          <w:sz w:val="24"/>
          <w:szCs w:val="24"/>
          <w:lang w:eastAsia="zh-CN"/>
        </w:rPr>
        <w:t>。</w:t>
      </w:r>
    </w:p>
    <w:p w14:paraId="7B42DA49">
      <w:pPr>
        <w:pStyle w:val="6"/>
        <w:spacing w:beforeLines="0"/>
        <w:rPr>
          <w:rFonts w:asciiTheme="minorEastAsia" w:hAnsiTheme="minorEastAsia" w:eastAsiaTheme="minorEastAsia"/>
        </w:rPr>
      </w:pPr>
      <w:bookmarkStart w:id="17" w:name="_Toc134264247"/>
      <w:bookmarkStart w:id="18" w:name="_Toc134264485"/>
      <w:r>
        <w:rPr>
          <w:rFonts w:hint="eastAsia" w:asciiTheme="minorEastAsia" w:hAnsiTheme="minorEastAsia" w:eastAsiaTheme="minorEastAsia"/>
          <w:lang w:val="en-US" w:eastAsia="zh-CN"/>
        </w:rPr>
        <w:t>3</w:t>
      </w:r>
      <w:r>
        <w:rPr>
          <w:rFonts w:asciiTheme="minorEastAsia" w:hAnsiTheme="minorEastAsia" w:eastAsiaTheme="minorEastAsia"/>
        </w:rPr>
        <w:t>.5</w:t>
      </w:r>
      <w:r>
        <w:rPr>
          <w:rFonts w:hint="eastAsia" w:asciiTheme="minorEastAsia" w:hAnsiTheme="minorEastAsia" w:eastAsiaTheme="minorEastAsia"/>
        </w:rPr>
        <w:t>横断面设计</w:t>
      </w:r>
      <w:bookmarkEnd w:id="17"/>
      <w:bookmarkEnd w:id="18"/>
    </w:p>
    <w:p w14:paraId="1D0FED58">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（1）</w:t>
      </w:r>
      <w:r>
        <w:rPr>
          <w:rFonts w:hint="eastAsia" w:cs="Times New Roman" w:asciiTheme="minorEastAsia" w:hAnsiTheme="minorEastAsia"/>
          <w:sz w:val="24"/>
          <w:szCs w:val="20"/>
          <w:lang w:val="en-US" w:eastAsia="zh-CN"/>
        </w:rPr>
        <w:t>AK</w:t>
      </w:r>
      <w:r>
        <w:rPr>
          <w:rFonts w:hint="eastAsia" w:cs="Times New Roman" w:asciiTheme="minorEastAsia" w:hAnsiTheme="minorEastAsia"/>
          <w:sz w:val="24"/>
          <w:szCs w:val="20"/>
        </w:rPr>
        <w:t>道路的标准横断面如下：</w:t>
      </w:r>
    </w:p>
    <w:p w14:paraId="41DF3BFE">
      <w:pPr>
        <w:widowControl/>
        <w:spacing w:line="360" w:lineRule="auto"/>
        <w:ind w:firstLine="470" w:firstLineChars="196"/>
        <w:jc w:val="left"/>
        <w:rPr>
          <w:rFonts w:hint="eastAsia"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p>
    <w:p w14:paraId="3EF3F818">
      <w:pPr>
        <w:widowControl/>
        <w:spacing w:line="360" w:lineRule="auto"/>
        <w:ind w:firstLine="411" w:firstLineChars="196"/>
        <w:jc w:val="center"/>
        <w:rPr>
          <w:rFonts w:hint="eastAsia" w:cs="Times New Roman" w:asciiTheme="minorEastAsia" w:hAnsiTheme="minorEastAsia"/>
          <w:sz w:val="24"/>
          <w:szCs w:val="20"/>
        </w:rPr>
      </w:pPr>
      <w:r>
        <w:drawing>
          <wp:inline distT="0" distB="0" distL="114300" distR="114300">
            <wp:extent cx="5880735" cy="4422140"/>
            <wp:effectExtent l="0" t="0" r="5715" b="1651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pic:cNvPicPr>
                      <a:picLocks noChangeAspect="1"/>
                    </pic:cNvPicPr>
                  </pic:nvPicPr>
                  <pic:blipFill>
                    <a:blip r:embed="rId10"/>
                    <a:stretch>
                      <a:fillRect/>
                    </a:stretch>
                  </pic:blipFill>
                  <pic:spPr>
                    <a:xfrm>
                      <a:off x="0" y="0"/>
                      <a:ext cx="5880735" cy="4422140"/>
                    </a:xfrm>
                    <a:prstGeom prst="rect">
                      <a:avLst/>
                    </a:prstGeom>
                    <a:noFill/>
                    <a:ln>
                      <a:noFill/>
                    </a:ln>
                  </pic:spPr>
                </pic:pic>
              </a:graphicData>
            </a:graphic>
          </wp:inline>
        </w:drawing>
      </w:r>
    </w:p>
    <w:p w14:paraId="6FB3697B">
      <w:pPr>
        <w:widowControl/>
        <w:spacing w:line="360" w:lineRule="auto"/>
        <w:ind w:firstLine="411" w:firstLineChars="196"/>
        <w:jc w:val="center"/>
      </w:pPr>
      <w:r>
        <w:drawing>
          <wp:inline distT="0" distB="0" distL="114300" distR="114300">
            <wp:extent cx="6089650" cy="4192270"/>
            <wp:effectExtent l="0" t="0" r="6350" b="1778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11"/>
                    <a:stretch>
                      <a:fillRect/>
                    </a:stretch>
                  </pic:blipFill>
                  <pic:spPr>
                    <a:xfrm>
                      <a:off x="0" y="0"/>
                      <a:ext cx="6089650" cy="4192270"/>
                    </a:xfrm>
                    <a:prstGeom prst="rect">
                      <a:avLst/>
                    </a:prstGeom>
                    <a:noFill/>
                    <a:ln>
                      <a:noFill/>
                    </a:ln>
                  </pic:spPr>
                </pic:pic>
              </a:graphicData>
            </a:graphic>
          </wp:inline>
        </w:drawing>
      </w:r>
    </w:p>
    <w:p w14:paraId="18E65C8B">
      <w:pPr>
        <w:widowControl/>
        <w:spacing w:line="360" w:lineRule="auto"/>
        <w:ind w:firstLine="470" w:firstLineChars="196"/>
        <w:jc w:val="center"/>
        <w:rPr>
          <w:rFonts w:cs="Times New Roman" w:asciiTheme="minorEastAsia" w:hAnsiTheme="minorEastAsia"/>
          <w:sz w:val="24"/>
          <w:szCs w:val="20"/>
        </w:rPr>
      </w:pPr>
      <w:r>
        <w:rPr>
          <w:rFonts w:hint="eastAsia" w:cs="Times New Roman" w:asciiTheme="minorEastAsia" w:hAnsiTheme="minorEastAsia"/>
          <w:sz w:val="24"/>
          <w:szCs w:val="20"/>
        </w:rPr>
        <w:t>（2）</w:t>
      </w:r>
      <w:r>
        <w:rPr>
          <w:rFonts w:hint="eastAsia" w:cs="Times New Roman" w:asciiTheme="minorEastAsia" w:hAnsiTheme="minorEastAsia"/>
          <w:sz w:val="24"/>
          <w:szCs w:val="20"/>
          <w:lang w:val="en-US" w:eastAsia="zh-CN"/>
        </w:rPr>
        <w:t>BK</w:t>
      </w:r>
      <w:r>
        <w:rPr>
          <w:rFonts w:hint="eastAsia" w:cs="Times New Roman" w:asciiTheme="minorEastAsia" w:hAnsiTheme="minorEastAsia"/>
          <w:sz w:val="24"/>
          <w:szCs w:val="20"/>
        </w:rPr>
        <w:t>道路、</w:t>
      </w:r>
      <w:r>
        <w:rPr>
          <w:rFonts w:hint="eastAsia" w:cs="Times New Roman" w:asciiTheme="minorEastAsia" w:hAnsiTheme="minorEastAsia"/>
          <w:sz w:val="24"/>
          <w:szCs w:val="20"/>
          <w:lang w:val="en-US" w:eastAsia="zh-CN"/>
        </w:rPr>
        <w:t>CK</w:t>
      </w:r>
      <w:r>
        <w:rPr>
          <w:rFonts w:hint="eastAsia" w:cs="Times New Roman" w:asciiTheme="minorEastAsia" w:hAnsiTheme="minorEastAsia"/>
          <w:sz w:val="24"/>
          <w:szCs w:val="20"/>
        </w:rPr>
        <w:t>道路、</w:t>
      </w:r>
      <w:r>
        <w:rPr>
          <w:rFonts w:hint="eastAsia" w:cs="Times New Roman" w:asciiTheme="minorEastAsia" w:hAnsiTheme="minorEastAsia"/>
          <w:sz w:val="24"/>
          <w:szCs w:val="20"/>
          <w:lang w:val="en-US" w:eastAsia="zh-CN"/>
        </w:rPr>
        <w:t>DK</w:t>
      </w:r>
      <w:r>
        <w:rPr>
          <w:rFonts w:hint="eastAsia" w:cs="Times New Roman" w:asciiTheme="minorEastAsia" w:hAnsiTheme="minorEastAsia"/>
          <w:sz w:val="24"/>
          <w:szCs w:val="20"/>
        </w:rPr>
        <w:t>道路的标准横断面如下：</w:t>
      </w:r>
    </w:p>
    <w:p w14:paraId="7241D791">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p>
    <w:p w14:paraId="32E027DF">
      <w:pPr>
        <w:widowControl/>
        <w:spacing w:line="360" w:lineRule="auto"/>
        <w:ind w:firstLine="411" w:firstLineChars="196"/>
        <w:jc w:val="center"/>
        <w:rPr>
          <w:rFonts w:cs="Times New Roman" w:asciiTheme="minorEastAsia" w:hAnsiTheme="minorEastAsia"/>
          <w:sz w:val="24"/>
          <w:szCs w:val="20"/>
        </w:rPr>
      </w:pPr>
      <w:r>
        <w:drawing>
          <wp:inline distT="0" distB="0" distL="114300" distR="114300">
            <wp:extent cx="5574030" cy="3655695"/>
            <wp:effectExtent l="0" t="0" r="7620" b="190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2"/>
                    <a:stretch>
                      <a:fillRect/>
                    </a:stretch>
                  </pic:blipFill>
                  <pic:spPr>
                    <a:xfrm>
                      <a:off x="0" y="0"/>
                      <a:ext cx="5574030" cy="3655695"/>
                    </a:xfrm>
                    <a:prstGeom prst="rect">
                      <a:avLst/>
                    </a:prstGeom>
                    <a:noFill/>
                    <a:ln>
                      <a:noFill/>
                    </a:ln>
                  </pic:spPr>
                </pic:pic>
              </a:graphicData>
            </a:graphic>
          </wp:inline>
        </w:drawing>
      </w:r>
    </w:p>
    <w:p w14:paraId="4E8807DA">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（3）</w:t>
      </w:r>
      <w:r>
        <w:rPr>
          <w:rFonts w:hint="eastAsia" w:cs="Times New Roman" w:asciiTheme="minorEastAsia" w:hAnsiTheme="minorEastAsia"/>
          <w:sz w:val="24"/>
          <w:szCs w:val="20"/>
          <w:lang w:val="en-US" w:eastAsia="zh-CN"/>
        </w:rPr>
        <w:t>EK</w:t>
      </w:r>
      <w:r>
        <w:rPr>
          <w:rFonts w:hint="eastAsia" w:cs="Times New Roman" w:asciiTheme="minorEastAsia" w:hAnsiTheme="minorEastAsia"/>
          <w:sz w:val="24"/>
          <w:szCs w:val="20"/>
        </w:rPr>
        <w:t>道路的标准横断面如下：</w:t>
      </w:r>
    </w:p>
    <w:p w14:paraId="3B93DF7A">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r>
        <w:rPr>
          <w:rFonts w:hint="eastAsia" w:asciiTheme="minorEastAsia" w:hAnsiTheme="minorEastAsia"/>
          <w:kern w:val="0"/>
          <w:sz w:val="24"/>
          <w:lang w:val="zh-CN" w:eastAsia="zh-CN"/>
        </w:rPr>
        <mc:AlternateContent>
          <mc:Choice Requires="wps">
            <w:drawing>
              <wp:anchor distT="0" distB="0" distL="114300" distR="114300" simplePos="0" relativeHeight="251674624" behindDoc="0" locked="0" layoutInCell="1" allowOverlap="1">
                <wp:simplePos x="0" y="0"/>
                <wp:positionH relativeFrom="column">
                  <wp:posOffset>1289050</wp:posOffset>
                </wp:positionH>
                <wp:positionV relativeFrom="paragraph">
                  <wp:posOffset>3355975</wp:posOffset>
                </wp:positionV>
                <wp:extent cx="2213610" cy="511810"/>
                <wp:effectExtent l="0" t="0" r="0" b="0"/>
                <wp:wrapNone/>
                <wp:docPr id="40" name="矩形 40"/>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2E7D74A">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294154D">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264.25pt;height:40.3pt;width:174.3pt;z-index:251674624;v-text-anchor:middle;mso-width-relative:page;mso-height-relative:page;" filled="f" stroked="f" coordsize="21600,21600" o:gfxdata="UEsDBAoAAAAAAIdO4kAAAAAAAAAAAAAAAAAEAAAAZHJzL1BLAwQUAAAACACHTuJAede3LdoAAAAL&#10;AQAADwAAAGRycy9kb3ducmV2LnhtbE2PwU7DMBBE70j8g7VI3KidQKISsqkqBEg90iAhbk68JIF4&#10;HcVu2v495gTH0Yxm3pSbkx3FQrMfHCMkKwWCuHVm4A7hrX6+WYPwQbPRo2NCOJOHTXV5UerCuCO/&#10;0rIPnYgl7AuN0IcwFVL6tier/cpNxNH7dLPVIcq5k2bWx1huR5kqlUurB44LvZ7osaf2e3+wCL5Z&#10;dvV52r5/ffi22T6xre92L4jXV4l6ABHoFP7C8Isf0aGKTI07sPFiREjVbfwSELJ0nYGIiSxLchAN&#10;Qq7uE5BVKf9/qH4AUEsDBBQAAAAIAIdO4kCMJtaPUAIAAJgEAAAOAAAAZHJzL2Uyb0RvYy54bWyt&#10;VM1uEzEQviPxDpbvdLMhLSXqpooaFSFVtFJBnB2vnbXkP2wnm/IySNx4CB4H8Rp89m7bqHDogYsz&#10;45n9PN83Mzk73xtNdiJE5WxD66MJJcJy1yq7aeinj5evTimJidmWaWdFQ+9EpOeLly/Oej8XU9c5&#10;3YpAAGLjvPcN7VLy86qKvBOGxSPnhUVQumBYghs2VRtYD3Sjq+lkclL1LrQ+OC5ixO1qCNIRMTwH&#10;0EmpuFg5vjXCpgE1CM0SKMVO+UgXpVopBU/XUkaRiG4omKZy4hHY63xWizM23wTmO8XHEthzSnjC&#10;yTBl8egD1IolRrZB/QVlFA8uOpmOuDPVQKQoAhb15Ik2tx3zonCB1NE/iB7/Hyz/sLsJRLUNnUES&#10;yww6/vvbj18/vxNcQJ3exzmSbv1NGL0IM1Pdy2DyL0iQfVH07kFRsU+E43I6rV+f1EDmiB3X9Sls&#10;wFSPX/sQ0zvhDMlGQwM6VoRku6uYhtT7lPyYdZdKa9yzubakxwvHs0nGZxhFiRGAaTzoRLuhhOkN&#10;ZpynUCAPvs2QKxY7smMYjOi0ase6tEV5mfRAM1tpv96P3NeuvYNewQ2DFD2/VIC6YjHdsIDJQSnY&#10;rXSNQ2qH+txoUdK58PVf9zkfDUWUkh6TiHq+bFkQlOj3Fq1+W89yb1JxZsdvpnDCYWR9GLFbc+HA&#10;qcYWe17MnJ/0vSmDM5+xgsv8KkLMcrw9qDQ6F2nYECwxF8tlScO4epau7K3nGXzoxXKbnFSlTVmo&#10;QZ1RPwxsafS4XHkjDv2S9fiHsv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ede3LdoAAAALAQAA&#10;DwAAAAAAAAABACAAAAAiAAAAZHJzL2Rvd25yZXYueG1sUEsBAhQAFAAAAAgAh07iQIwm1o9QAgAA&#10;mAQAAA4AAAAAAAAAAQAgAAAAKQEAAGRycy9lMm9Eb2MueG1sUEsFBgAAAAAGAAYAWQEAAOsFAAAA&#10;AA==&#10;">
                <v:fill on="f" focussize="0,0"/>
                <v:stroke on="f" weight="2pt"/>
                <v:imagedata o:title=""/>
                <o:lock v:ext="edit" aspectratio="f"/>
                <v:textbox>
                  <w:txbxContent>
                    <w:p w14:paraId="42E7D74A">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294154D">
                      <w:pPr>
                        <w:jc w:val="center"/>
                        <w:rPr>
                          <w:color w:val="000000" w:themeColor="text1"/>
                          <w:sz w:val="28"/>
                          <w:szCs w:val="28"/>
                          <w14:textFill>
                            <w14:solidFill>
                              <w14:schemeClr w14:val="tx1"/>
                            </w14:solidFill>
                          </w14:textFill>
                        </w:rPr>
                      </w:pPr>
                    </w:p>
                  </w:txbxContent>
                </v:textbox>
              </v:rect>
            </w:pict>
          </mc:Fallback>
        </mc:AlternateContent>
      </w:r>
      <w:r>
        <w:rPr>
          <w:rFonts w:hint="eastAsia" w:asciiTheme="minorEastAsia" w:hAnsiTheme="minorEastAsia"/>
          <w:kern w:val="0"/>
          <w:sz w:val="24"/>
          <w:lang w:val="zh-CN" w:eastAsia="zh-CN"/>
        </w:rPr>
        <mc:AlternateContent>
          <mc:Choice Requires="wps">
            <w:drawing>
              <wp:anchor distT="0" distB="0" distL="114300" distR="114300" simplePos="0" relativeHeight="251666432" behindDoc="0" locked="0" layoutInCell="1" allowOverlap="1">
                <wp:simplePos x="0" y="0"/>
                <wp:positionH relativeFrom="column">
                  <wp:posOffset>8546465</wp:posOffset>
                </wp:positionH>
                <wp:positionV relativeFrom="paragraph">
                  <wp:posOffset>3488055</wp:posOffset>
                </wp:positionV>
                <wp:extent cx="648970" cy="485140"/>
                <wp:effectExtent l="0" t="0" r="0" b="0"/>
                <wp:wrapNone/>
                <wp:docPr id="32" name="矩形 32"/>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D6FD630">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274.65pt;height:38.2pt;width:51.1pt;z-index:251666432;v-text-anchor:middle;mso-width-relative:page;mso-height-relative:page;" filled="f" stroked="f" coordsize="21600,21600" o:gfxdata="UEsDBAoAAAAAAIdO4kAAAAAAAAAAAAAAAAAEAAAAZHJzL1BLAwQUAAAACACHTuJACDn/NtsAAAAN&#10;AQAADwAAAGRycy9kb3ducmV2LnhtbE2PwW7CMBBE70j9B2sr9QZOwKEQ4iBUtZU4QipVvTnxNgmN&#10;11FsAvx9zak9jvZp5m22vZqOjTi41pKEeBYBQ6qsbqmW8FG8TVfAnFekVWcJJdzQwTZ/mGQq1fZC&#10;BxyPvmahhFyqJDTe9ynnrmrQKDezPVK4fdvBKB/iUHM9qEsoNx2fR9GSG9VSWGhUjy8NVj/Hs5Hg&#10;ynFf3Prd5+nLVeXulUwh9u9SPj3G0QaYx6v/g+GuH9QhD06lPZN2rAt5IZJ1YCUkYr0AdkeEWMXA&#10;SgnLefIMPM/4/y/yX1BLAwQUAAAACACHTuJApwz69FMCAACXBAAADgAAAGRycy9lMm9Eb2MueG1s&#10;rVRLbtswEN0X6B0I7hvZrvMzIgdGjBQFgiZAWnRNU6RFgL+StOX0MgW66yF6nKLX6COlOEbaRRbd&#10;SDOc0Ru+NzO6uNwZTbYiROVsTcdHI0qE5a5Rdl3TTx+v35xREhOzDdPOipo+iEgv569fXXR+Jiau&#10;dboRgQDExlnna9qm5GdVFXkrDItHzguLoHTBsAQ3rKsmsA7oRleT0eik6lxofHBcxIjTZR+kA2J4&#10;CaCTUnGxdHxjhE09ahCaJVCKrfKRzsttpRQ83UoZRSK6pmCayhNFYK/ys5pfsNk6MN8qPlyBveQK&#10;zzgZpiyK7qGWLDGyCeovKKN4cNHJdMSdqXoiRRGwGI+eaXPfMi8KF0gd/V70+P9g+YftXSCqqenb&#10;CSWWGXT897cfv35+JziAOp2PMyTd+7sweBFmprqTweQ3SJBdUfRhr6jYJcJxeDI9Oz+F1hyh6dnx&#10;eFoUr54+9iGmd8IZko2aBjSs6Mi2NzGhIFIfU3It666V1qVp2pKuppPj6SjjM0yixATANB5sol1T&#10;wvQaI85TKJAH32bIJYst2TLMRXRaNZkrimmLV+bcs8xW2q12A/WVax4gV3D9HEXPrxWgblhMdyxg&#10;cHAVrFa6xUNqh/u5waKkdeHrv85zPvqJKCUdBhH3+bJhQVCi31t0+nw8hWokFWd6fDqBEw4jq8OI&#10;3ZgrB05jLLHnxcz5ST+aMjjzGRu4yFURYpajdq/S4FylfkGww1wsFiUN0+pZurH3nmfwvheLTXJS&#10;lTZloXp1Bv0wr0XQYbfyQhz6JevpfzL/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g5/zbbAAAA&#10;DQEAAA8AAAAAAAAAAQAgAAAAIgAAAGRycy9kb3ducmV2LnhtbFBLAQIUABQAAAAIAIdO4kCnDPr0&#10;UwIAAJcEAAAOAAAAAAAAAAEAIAAAACoBAABkcnMvZTJvRG9jLnhtbFBLBQYAAAAABgAGAFkBAADv&#10;BQAAAAA=&#10;">
                <v:fill on="f" focussize="0,0"/>
                <v:stroke on="f" weight="2pt"/>
                <v:imagedata o:title=""/>
                <o:lock v:ext="edit" aspectratio="f"/>
                <v:textbox>
                  <w:txbxContent>
                    <w:p w14:paraId="1D6FD630">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p w14:paraId="257B7100">
      <w:pPr>
        <w:widowControl/>
        <w:spacing w:line="360" w:lineRule="auto"/>
        <w:ind w:firstLine="411" w:firstLineChars="196"/>
        <w:jc w:val="center"/>
      </w:pPr>
      <w:r>
        <w:drawing>
          <wp:inline distT="0" distB="0" distL="114300" distR="114300">
            <wp:extent cx="5459095" cy="3870325"/>
            <wp:effectExtent l="0" t="0" r="8255" b="15875"/>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3"/>
                    <a:stretch>
                      <a:fillRect/>
                    </a:stretch>
                  </pic:blipFill>
                  <pic:spPr>
                    <a:xfrm>
                      <a:off x="0" y="0"/>
                      <a:ext cx="5459095" cy="3870325"/>
                    </a:xfrm>
                    <a:prstGeom prst="rect">
                      <a:avLst/>
                    </a:prstGeom>
                    <a:noFill/>
                    <a:ln>
                      <a:noFill/>
                    </a:ln>
                  </pic:spPr>
                </pic:pic>
              </a:graphicData>
            </a:graphic>
          </wp:inline>
        </w:drawing>
      </w:r>
    </w:p>
    <w:p w14:paraId="678B724A">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4</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FK</w:t>
      </w:r>
      <w:r>
        <w:rPr>
          <w:rFonts w:hint="eastAsia" w:cs="Times New Roman" w:asciiTheme="minorEastAsia" w:hAnsiTheme="minorEastAsia"/>
          <w:sz w:val="24"/>
          <w:szCs w:val="20"/>
        </w:rPr>
        <w:t>道路的标准横断面如下：</w:t>
      </w:r>
    </w:p>
    <w:p w14:paraId="5607532E">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p>
    <w:p w14:paraId="5628EFE8">
      <w:pPr>
        <w:widowControl/>
        <w:spacing w:line="360" w:lineRule="auto"/>
        <w:ind w:firstLine="411" w:firstLineChars="196"/>
        <w:jc w:val="center"/>
      </w:pPr>
      <w:r>
        <w:drawing>
          <wp:inline distT="0" distB="0" distL="114300" distR="114300">
            <wp:extent cx="4467860" cy="3487420"/>
            <wp:effectExtent l="0" t="0" r="8890" b="1778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pic:cNvPicPr>
                      <a:picLocks noChangeAspect="1"/>
                    </pic:cNvPicPr>
                  </pic:nvPicPr>
                  <pic:blipFill>
                    <a:blip r:embed="rId14"/>
                    <a:stretch>
                      <a:fillRect/>
                    </a:stretch>
                  </pic:blipFill>
                  <pic:spPr>
                    <a:xfrm>
                      <a:off x="0" y="0"/>
                      <a:ext cx="4467860" cy="3487420"/>
                    </a:xfrm>
                    <a:prstGeom prst="rect">
                      <a:avLst/>
                    </a:prstGeom>
                    <a:noFill/>
                    <a:ln>
                      <a:noFill/>
                    </a:ln>
                  </pic:spPr>
                </pic:pic>
              </a:graphicData>
            </a:graphic>
          </wp:inline>
        </w:drawing>
      </w:r>
    </w:p>
    <w:p w14:paraId="5033AFB1">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GK</w:t>
      </w:r>
      <w:r>
        <w:rPr>
          <w:rFonts w:hint="eastAsia" w:cs="Times New Roman" w:asciiTheme="minorEastAsia" w:hAnsiTheme="minorEastAsia"/>
          <w:sz w:val="24"/>
          <w:szCs w:val="20"/>
        </w:rPr>
        <w:t>道路</w:t>
      </w:r>
      <w:r>
        <w:rPr>
          <w:rFonts w:hint="eastAsia" w:cs="Times New Roman" w:asciiTheme="minorEastAsia" w:hAnsiTheme="minorEastAsia"/>
          <w:sz w:val="24"/>
          <w:szCs w:val="20"/>
          <w:lang w:eastAsia="zh-CN"/>
        </w:rPr>
        <w:t>、</w:t>
      </w:r>
      <w:r>
        <w:rPr>
          <w:rFonts w:hint="eastAsia" w:cs="Times New Roman" w:asciiTheme="minorEastAsia" w:hAnsiTheme="minorEastAsia"/>
          <w:sz w:val="24"/>
          <w:szCs w:val="20"/>
          <w:lang w:val="en-US" w:eastAsia="zh-CN"/>
        </w:rPr>
        <w:t>HK道路、JK道路、KK道路</w:t>
      </w:r>
      <w:r>
        <w:rPr>
          <w:rFonts w:hint="eastAsia" w:cs="Times New Roman" w:asciiTheme="minorEastAsia" w:hAnsiTheme="minorEastAsia"/>
          <w:sz w:val="24"/>
          <w:szCs w:val="20"/>
        </w:rPr>
        <w:t>的标准横断面如下：</w:t>
      </w:r>
    </w:p>
    <w:p w14:paraId="7CA90FA5">
      <w:pPr>
        <w:widowControl/>
        <w:spacing w:line="360" w:lineRule="auto"/>
        <w:ind w:firstLine="470" w:firstLineChars="196"/>
        <w:jc w:val="left"/>
        <w:rPr>
          <w:rFonts w:hint="eastAsia"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p>
    <w:p w14:paraId="612A21BC">
      <w:pPr>
        <w:widowControl/>
        <w:spacing w:line="360" w:lineRule="auto"/>
        <w:ind w:firstLine="411" w:firstLineChars="196"/>
        <w:jc w:val="center"/>
        <w:rPr>
          <w:rFonts w:hint="eastAsia" w:cs="Times New Roman" w:asciiTheme="minorEastAsia" w:hAnsiTheme="minorEastAsia"/>
          <w:sz w:val="24"/>
          <w:szCs w:val="20"/>
        </w:rPr>
      </w:pPr>
      <w:r>
        <w:drawing>
          <wp:inline distT="0" distB="0" distL="114300" distR="114300">
            <wp:extent cx="6017260" cy="3975100"/>
            <wp:effectExtent l="0" t="0" r="2540" b="635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5"/>
                    <a:stretch>
                      <a:fillRect/>
                    </a:stretch>
                  </pic:blipFill>
                  <pic:spPr>
                    <a:xfrm>
                      <a:off x="0" y="0"/>
                      <a:ext cx="6017260" cy="3975100"/>
                    </a:xfrm>
                    <a:prstGeom prst="rect">
                      <a:avLst/>
                    </a:prstGeom>
                    <a:noFill/>
                    <a:ln>
                      <a:noFill/>
                    </a:ln>
                  </pic:spPr>
                </pic:pic>
              </a:graphicData>
            </a:graphic>
          </wp:inline>
        </w:drawing>
      </w:r>
    </w:p>
    <w:p w14:paraId="2EB7FB56">
      <w:pPr>
        <w:widowControl/>
        <w:spacing w:line="360" w:lineRule="auto"/>
        <w:ind w:firstLine="470" w:firstLineChars="196"/>
        <w:jc w:val="left"/>
        <w:rPr>
          <w:rFonts w:cs="Times New Roman" w:asciiTheme="minorEastAsia" w:hAnsiTheme="minorEastAsia"/>
          <w:sz w:val="24"/>
          <w:szCs w:val="20"/>
        </w:rPr>
      </w:pP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6</w:t>
      </w:r>
      <w:r>
        <w:rPr>
          <w:rFonts w:hint="eastAsia" w:cs="Times New Roman" w:asciiTheme="minorEastAsia" w:hAnsiTheme="minorEastAsia"/>
          <w:sz w:val="24"/>
          <w:szCs w:val="20"/>
        </w:rPr>
        <w:t>）</w:t>
      </w:r>
      <w:r>
        <w:rPr>
          <w:rFonts w:hint="eastAsia" w:cs="Times New Roman" w:asciiTheme="minorEastAsia" w:hAnsiTheme="minorEastAsia"/>
          <w:sz w:val="24"/>
          <w:szCs w:val="20"/>
          <w:lang w:val="en-US" w:eastAsia="zh-CN"/>
        </w:rPr>
        <w:t>IK</w:t>
      </w:r>
      <w:r>
        <w:rPr>
          <w:rFonts w:hint="eastAsia" w:cs="Times New Roman" w:asciiTheme="minorEastAsia" w:hAnsiTheme="minorEastAsia"/>
          <w:sz w:val="24"/>
          <w:szCs w:val="20"/>
        </w:rPr>
        <w:t>道路的标准横断面如下：</w:t>
      </w:r>
    </w:p>
    <w:p w14:paraId="3E1CEAFC">
      <w:pPr>
        <w:widowControl/>
        <w:spacing w:line="360" w:lineRule="auto"/>
        <w:ind w:firstLine="470" w:firstLineChars="196"/>
        <w:jc w:val="left"/>
        <w:rPr>
          <w:rFonts w:hint="eastAsia" w:cs="Times New Roman" w:asciiTheme="minorEastAsia" w:hAnsiTheme="minorEastAsia"/>
          <w:sz w:val="24"/>
          <w:szCs w:val="20"/>
        </w:rPr>
      </w:pPr>
      <w:r>
        <w:rPr>
          <w:rFonts w:hint="eastAsia" w:cs="Times New Roman" w:asciiTheme="minorEastAsia" w:hAnsiTheme="minorEastAsia"/>
          <w:sz w:val="24"/>
          <w:szCs w:val="20"/>
        </w:rPr>
        <w:t>机动车道路宽为</w:t>
      </w:r>
      <w:r>
        <w:rPr>
          <w:rFonts w:hint="eastAsia" w:cs="Times New Roman" w:asciiTheme="minorEastAsia" w:hAnsiTheme="minorEastAsia"/>
          <w:sz w:val="24"/>
          <w:szCs w:val="20"/>
          <w:lang w:val="en-US" w:eastAsia="zh-CN"/>
        </w:rPr>
        <w:t>5</w:t>
      </w:r>
      <w:r>
        <w:rPr>
          <w:rFonts w:hint="eastAsia" w:cs="Times New Roman" w:asciiTheme="minorEastAsia" w:hAnsiTheme="minorEastAsia"/>
          <w:sz w:val="24"/>
          <w:szCs w:val="20"/>
        </w:rPr>
        <w:t>.0m</w:t>
      </w:r>
    </w:p>
    <w:p w14:paraId="095CB422">
      <w:pPr>
        <w:widowControl/>
        <w:spacing w:line="360" w:lineRule="auto"/>
        <w:ind w:left="0" w:leftChars="0" w:firstLine="0" w:firstLineChars="0"/>
        <w:jc w:val="center"/>
        <w:rPr>
          <w:rFonts w:hint="eastAsia" w:cs="Times New Roman" w:asciiTheme="minorEastAsia" w:hAnsiTheme="minorEastAsia"/>
          <w:sz w:val="24"/>
          <w:szCs w:val="20"/>
        </w:rPr>
      </w:pPr>
      <w:r>
        <w:rPr>
          <w:rFonts w:hint="eastAsia" w:asciiTheme="minorEastAsia" w:hAnsiTheme="minorEastAsia"/>
          <w:kern w:val="0"/>
          <w:sz w:val="24"/>
          <w:lang w:val="zh-CN" w:eastAsia="zh-CN"/>
        </w:rPr>
        <mc:AlternateContent>
          <mc:Choice Requires="wps">
            <w:drawing>
              <wp:anchor distT="0" distB="0" distL="114300" distR="114300" simplePos="0" relativeHeight="251675648" behindDoc="0" locked="0" layoutInCell="1" allowOverlap="1">
                <wp:simplePos x="0" y="0"/>
                <wp:positionH relativeFrom="column">
                  <wp:posOffset>1289050</wp:posOffset>
                </wp:positionH>
                <wp:positionV relativeFrom="paragraph">
                  <wp:posOffset>7842250</wp:posOffset>
                </wp:positionV>
                <wp:extent cx="2213610" cy="511810"/>
                <wp:effectExtent l="0" t="0" r="0" b="0"/>
                <wp:wrapNone/>
                <wp:docPr id="41" name="矩形 41"/>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FF953D8">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209E3E3E">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617.5pt;height:40.3pt;width:174.3pt;z-index:251675648;v-text-anchor:middle;mso-width-relative:page;mso-height-relative:page;" filled="f" stroked="f" coordsize="21600,21600" o:gfxdata="UEsDBAoAAAAAAIdO4kAAAAAAAAAAAAAAAAAEAAAAZHJzL1BLAwQUAAAACACHTuJAujUST9oAAAAN&#10;AQAADwAAAGRycy9kb3ducmV2LnhtbE2PQU+DQBCF7yb+h82YeLO7gBBDWZrGqEmPFhPjbYEpoOws&#10;Ybe0/feOJ3ubmffy5nvF5mxHseDsB0caopUCgdS4dqBOw0f1+vAEwgdDrRkdoYYLetiUtzeFyVt3&#10;ondc9qETHEI+Nxr6EKZcSt/0aI1fuQmJtYObrQm8zp1sZ3PicDvKWKlMWjMQf+jNhM89Nj/7o9Xg&#10;62VXXabt5/eXb+rtC9nqcfem9f1dpNYgAp7Dvxn+8BkdSmaq3ZFaL0YNsUq4S2AhTlKe2JKmUQai&#10;5lMSpRnIspDXLcpfUEsDBBQAAAAIAIdO4kC4zn12UAIAAJgEAAAOAAAAZHJzL2Uyb0RvYy54bWyt&#10;VM1uEzEQviPxDpbvdLMhLSXqpooaFSFVtFJBnB2vnbXkP2wnm/IySNx4CB4H8Rp89m7bqHDogYsz&#10;45n9PN83Mzk73xtNdiJE5WxD66MJJcJy1yq7aeinj5evTimJidmWaWdFQ+9EpOeLly/Oej8XU9c5&#10;3YpAAGLjvPcN7VLy86qKvBOGxSPnhUVQumBYghs2VRtYD3Sjq+lkclL1LrQ+OC5ixO1qCNIRMTwH&#10;0EmpuFg5vjXCpgE1CM0SKMVO+UgXpVopBU/XUkaRiG4omKZy4hHY63xWizM23wTmO8XHEthzSnjC&#10;yTBl8egD1IolRrZB/QVlFA8uOpmOuDPVQKQoAhb15Ik2tx3zonCB1NE/iB7/Hyz/sLsJRLUNndWU&#10;WGbQ8d/ffvz6+Z3gAur0Ps6RdOtvwuhFmJnqXgaTf0GC7Iuidw+Kin0iHJfTaf36pIbYHLHjuj6F&#10;DZjq8WsfYnonnCHZaGhAx4qQbHcV05B6n5Ifs+5SaY17NteW9HjheDbJ+AyjKDECMI0HnWg3lDC9&#10;wYzzFArkwbcZcsViR3YMgxGdVu1Yl7YoL5MeaGYr7df7kfvatXfQK7hhkKLnlwpQVyymGxYwOSgF&#10;u5WucUjtUJ8bLUo6F77+6z7no6GIUtJjElHPly0LghL93qLVb+vZDLCpOLPjN1M44TCyPozYrblw&#10;4IRuorpi5vyk700ZnPmMFVzmVxFiluPtQaXRuUjDhmCJuVguSxrG1bN0ZW89z+BDL5bb5KQqbcpC&#10;DeqM+mFgS6PH5cobceiXrMc/lM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jUST9oAAAANAQAA&#10;DwAAAAAAAAABACAAAAAiAAAAZHJzL2Rvd25yZXYueG1sUEsBAhQAFAAAAAgAh07iQLjOfXZQAgAA&#10;mAQAAA4AAAAAAAAAAQAgAAAAKQEAAGRycy9lMm9Eb2MueG1sUEsFBgAAAAAGAAYAWQEAAOsFAAAA&#10;AA==&#10;">
                <v:fill on="f" focussize="0,0"/>
                <v:stroke on="f" weight="2pt"/>
                <v:imagedata o:title=""/>
                <o:lock v:ext="edit" aspectratio="f"/>
                <v:textbox>
                  <w:txbxContent>
                    <w:p w14:paraId="5FF953D8">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209E3E3E">
                      <w:pPr>
                        <w:jc w:val="center"/>
                        <w:rPr>
                          <w:color w:val="000000" w:themeColor="text1"/>
                          <w:sz w:val="28"/>
                          <w:szCs w:val="28"/>
                          <w14:textFill>
                            <w14:solidFill>
                              <w14:schemeClr w14:val="tx1"/>
                            </w14:solidFill>
                          </w14:textFill>
                        </w:rPr>
                      </w:pPr>
                    </w:p>
                  </w:txbxContent>
                </v:textbox>
              </v:rect>
            </w:pict>
          </mc:Fallback>
        </mc:AlternateContent>
      </w:r>
      <w:r>
        <w:drawing>
          <wp:inline distT="0" distB="0" distL="114300" distR="114300">
            <wp:extent cx="6110605" cy="4037330"/>
            <wp:effectExtent l="0" t="0" r="4445" b="127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15"/>
                    <a:stretch>
                      <a:fillRect/>
                    </a:stretch>
                  </pic:blipFill>
                  <pic:spPr>
                    <a:xfrm>
                      <a:off x="0" y="0"/>
                      <a:ext cx="6110605" cy="4037330"/>
                    </a:xfrm>
                    <a:prstGeom prst="rect">
                      <a:avLst/>
                    </a:prstGeom>
                    <a:noFill/>
                    <a:ln>
                      <a:noFill/>
                    </a:ln>
                  </pic:spPr>
                </pic:pic>
              </a:graphicData>
            </a:graphic>
          </wp:inline>
        </w:drawing>
      </w:r>
      <w:r>
        <w:rPr>
          <w:rFonts w:hint="eastAsia" w:asciiTheme="minorEastAsia" w:hAnsiTheme="minorEastAsia"/>
          <w:kern w:val="0"/>
          <w:sz w:val="24"/>
          <w:lang w:val="zh-CN" w:eastAsia="zh-CN"/>
        </w:rPr>
        <mc:AlternateContent>
          <mc:Choice Requires="wps">
            <w:drawing>
              <wp:anchor distT="0" distB="0" distL="114300" distR="114300" simplePos="0" relativeHeight="251667456" behindDoc="0" locked="0" layoutInCell="1" allowOverlap="1">
                <wp:simplePos x="0" y="0"/>
                <wp:positionH relativeFrom="column">
                  <wp:posOffset>8546465</wp:posOffset>
                </wp:positionH>
                <wp:positionV relativeFrom="paragraph">
                  <wp:posOffset>7974330</wp:posOffset>
                </wp:positionV>
                <wp:extent cx="648970" cy="485140"/>
                <wp:effectExtent l="0" t="0" r="0" b="0"/>
                <wp:wrapNone/>
                <wp:docPr id="33" name="矩形 33"/>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90A6B41">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627.9pt;height:38.2pt;width:51.1pt;z-index:251667456;v-text-anchor:middle;mso-width-relative:page;mso-height-relative:page;" filled="f" stroked="f" coordsize="21600,21600" o:gfxdata="UEsDBAoAAAAAAIdO4kAAAAAAAAAAAAAAAAAEAAAAZHJzL1BLAwQUAAAACACHTuJAwfqQBdoAAAAP&#10;AQAADwAAAGRycy9kb3ducmV2LnhtbE2PQU+DQBCF7yb+h82YeLMLFExFlqYxatKjxcR4W9gRUHaW&#10;sFva/nuHk97m5X15816xPdtBzDj53pGCeBWBQGqc6alV8F693G1A+KDJ6MERKrigh215fVXo3LgT&#10;veF8CK3gEPK5VtCFMOZS+qZDq/3KjUjsfbnJ6sByaqWZ9InD7SCTKLqXVvfEHzo94lOHzc/haBX4&#10;et5Xl3H38f3pm3r3TLZK969K3d7E0SOIgOfwB8NSn6tDyZ1qdyTjxcB6nWYPzPKVZBmvWJg03cQg&#10;6sVdJwnIspD/d5S/UEsDBBQAAAAIAIdO4kA7V83mUwIAAJcEAAAOAAAAZHJzL2Uyb0RvYy54bWyt&#10;VEtu2zAQ3RfoHQjuG9mO8zMiB0aMFAWCJkBadE1TpEWAv5K05fQyBbrrIXKcotfoI6UkRtpFFt1I&#10;M5zRG743Mzq/2BlNtiJE5WxNxwcjSoTlrlF2XdPPn67enVISE7MN086Kmt6LSC/mb9+cd34mJq51&#10;uhGBAMTGWedr2qbkZ1UVeSsMiwfOC4ugdMGwBDesqyawDuhGV5PR6LjqXGh8cFzEiNNlH6QDYngN&#10;oJNScbF0fGOETT1qEJolUIqt8pHOy22lFDzdSBlFIrqmYJrKE0Vgr/Kzmp+z2Tow3yo+XIG95gov&#10;OBmmLIo+QS1ZYmQT1F9QRvHgopPpgDtT9USKImAxHr3Q5q5lXhQukDr6J9Hj/4PlH7e3gaimpoeH&#10;lFhm0PHf33/+evhBcAB1Oh9nSLrzt2HwIsxMdSeDyW+QILui6P2TomKXCMfh8fT07ARac4Smp0fj&#10;aVG8ev7Yh5jeC2dINmoa0LCiI9tex4SCSH1MybWsu1Jal6ZpS7qaTo6mo4zPMIkSEwDTeLCJdk0J&#10;02uMOE+hQO59myGXLLZkyzAX0WnVZK4opi1emXPPMltpt9oN1FeuuYdcwfVzFD2/UoC6ZjHdsoDB&#10;wVWwWukGD6kd7ucGi5LWhW//Os/56CeilHQYRNzn64YFQYn+YNHps/EUqpFUnOnRyQRO2I+s9iN2&#10;Yy4dOI2xxJ4XM+cn/WjK4MwXbOAiV0WIWY7avUqDc5n6BcEOc7FYlDRMq2fp2t55nsH7Xiw2yUlV&#10;2pSF6tUZ9MO8FkGH3coLse+XrOf/yfw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wfqQBdoAAAAP&#10;AQAADwAAAAAAAAABACAAAAAiAAAAZHJzL2Rvd25yZXYueG1sUEsBAhQAFAAAAAgAh07iQDtXzeZT&#10;AgAAlwQAAA4AAAAAAAAAAQAgAAAAKQEAAGRycy9lMm9Eb2MueG1sUEsFBgAAAAAGAAYAWQEAAO4F&#10;AAAAAA==&#10;">
                <v:fill on="f" focussize="0,0"/>
                <v:stroke on="f" weight="2pt"/>
                <v:imagedata o:title=""/>
                <o:lock v:ext="edit" aspectratio="f"/>
                <v:textbox>
                  <w:txbxContent>
                    <w:p w14:paraId="590A6B41">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p w14:paraId="7A6722D6">
      <w:pPr>
        <w:widowControl/>
        <w:spacing w:line="360" w:lineRule="auto"/>
        <w:ind w:left="0" w:leftChars="0" w:firstLine="0" w:firstLineChars="0"/>
        <w:jc w:val="center"/>
      </w:pPr>
      <w:r>
        <w:drawing>
          <wp:inline distT="0" distB="0" distL="114300" distR="114300">
            <wp:extent cx="6148705" cy="4156710"/>
            <wp:effectExtent l="0" t="0" r="4445" b="1524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6"/>
                    <a:stretch>
                      <a:fillRect/>
                    </a:stretch>
                  </pic:blipFill>
                  <pic:spPr>
                    <a:xfrm>
                      <a:off x="0" y="0"/>
                      <a:ext cx="6148705" cy="4156710"/>
                    </a:xfrm>
                    <a:prstGeom prst="rect">
                      <a:avLst/>
                    </a:prstGeom>
                    <a:noFill/>
                    <a:ln>
                      <a:noFill/>
                    </a:ln>
                  </pic:spPr>
                </pic:pic>
              </a:graphicData>
            </a:graphic>
          </wp:inline>
        </w:drawing>
      </w:r>
    </w:p>
    <w:p w14:paraId="5CE72C18">
      <w:pPr>
        <w:widowControl/>
        <w:spacing w:line="360" w:lineRule="auto"/>
        <w:ind w:left="0" w:leftChars="0" w:firstLine="0" w:firstLineChars="0"/>
        <w:jc w:val="center"/>
      </w:pPr>
      <w:r>
        <w:drawing>
          <wp:inline distT="0" distB="0" distL="114300" distR="114300">
            <wp:extent cx="6181725" cy="4147185"/>
            <wp:effectExtent l="0" t="0" r="9525" b="571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7"/>
                    <a:stretch>
                      <a:fillRect/>
                    </a:stretch>
                  </pic:blipFill>
                  <pic:spPr>
                    <a:xfrm>
                      <a:off x="0" y="0"/>
                      <a:ext cx="6181725" cy="4147185"/>
                    </a:xfrm>
                    <a:prstGeom prst="rect">
                      <a:avLst/>
                    </a:prstGeom>
                    <a:noFill/>
                    <a:ln>
                      <a:noFill/>
                    </a:ln>
                  </pic:spPr>
                </pic:pic>
              </a:graphicData>
            </a:graphic>
          </wp:inline>
        </w:drawing>
      </w:r>
    </w:p>
    <w:p w14:paraId="1000C8AC">
      <w:pPr>
        <w:pStyle w:val="3"/>
      </w:pPr>
    </w:p>
    <w:p w14:paraId="41977ABC">
      <w:pPr>
        <w:pStyle w:val="6"/>
        <w:spacing w:beforeLines="0"/>
        <w:rPr>
          <w:rFonts w:asciiTheme="minorEastAsia" w:hAnsiTheme="minorEastAsia" w:eastAsiaTheme="minorEastAsia"/>
        </w:rPr>
      </w:pPr>
      <w:r>
        <w:rPr>
          <w:rFonts w:hint="eastAsia" w:asciiTheme="minorEastAsia" w:hAnsiTheme="minorEastAsia" w:eastAsiaTheme="minorEastAsia"/>
          <w:lang w:val="en-US" w:eastAsia="zh-CN"/>
        </w:rPr>
        <w:t>3</w:t>
      </w:r>
      <w:r>
        <w:rPr>
          <w:rFonts w:asciiTheme="minorEastAsia" w:hAnsiTheme="minorEastAsia" w:eastAsiaTheme="minorEastAsia"/>
        </w:rPr>
        <w:t>.6</w:t>
      </w:r>
      <w:r>
        <w:rPr>
          <w:rFonts w:hint="eastAsia" w:asciiTheme="minorEastAsia" w:hAnsiTheme="minorEastAsia" w:eastAsiaTheme="minorEastAsia"/>
        </w:rPr>
        <w:t>路基设计</w:t>
      </w:r>
    </w:p>
    <w:p w14:paraId="58296472">
      <w:pPr>
        <w:pStyle w:val="7"/>
        <w:spacing w:beforeLines="0"/>
        <w:rPr>
          <w:rFonts w:ascii="宋体" w:hAnsi="宋体" w:eastAsia="宋体"/>
          <w:color w:val="auto"/>
          <w:szCs w:val="24"/>
        </w:rPr>
      </w:pPr>
      <w:r>
        <w:rPr>
          <w:rFonts w:hint="eastAsia" w:ascii="Times New Roman"/>
          <w:color w:val="auto"/>
          <w:lang w:val="en-US" w:eastAsia="zh-CN"/>
        </w:rPr>
        <w:t>3</w:t>
      </w:r>
      <w:r>
        <w:rPr>
          <w:rFonts w:ascii="Times New Roman"/>
          <w:color w:val="auto"/>
        </w:rPr>
        <w:t>.6.1</w:t>
      </w:r>
      <w:r>
        <w:rPr>
          <w:rFonts w:hint="eastAsia" w:ascii="宋体" w:hAnsi="宋体" w:eastAsia="宋体"/>
          <w:color w:val="auto"/>
          <w:szCs w:val="24"/>
        </w:rPr>
        <w:t>路基填料与压实</w:t>
      </w:r>
    </w:p>
    <w:p w14:paraId="2115E92B">
      <w:pPr>
        <w:widowControl/>
        <w:spacing w:line="360" w:lineRule="auto"/>
        <w:ind w:firstLine="480" w:firstLineChars="200"/>
        <w:rPr>
          <w:rFonts w:asciiTheme="minorEastAsia" w:hAnsiTheme="minorEastAsia"/>
          <w:sz w:val="24"/>
        </w:rPr>
      </w:pPr>
      <w:r>
        <w:rPr>
          <w:rFonts w:hint="eastAsia" w:asciiTheme="minorEastAsia" w:hAnsiTheme="minorEastAsia"/>
          <w:sz w:val="24"/>
        </w:rPr>
        <w:t>A、路基填料</w:t>
      </w:r>
    </w:p>
    <w:p w14:paraId="40AFD13A">
      <w:pPr>
        <w:widowControl/>
        <w:spacing w:line="360" w:lineRule="auto"/>
        <w:ind w:firstLine="480" w:firstLineChars="200"/>
        <w:rPr>
          <w:rFonts w:asciiTheme="minorEastAsia" w:hAnsiTheme="minorEastAsia"/>
          <w:sz w:val="24"/>
        </w:rPr>
      </w:pPr>
      <w:r>
        <w:rPr>
          <w:rFonts w:hint="eastAsia" w:asciiTheme="minorEastAsia" w:hAnsiTheme="minorEastAsia"/>
          <w:sz w:val="24"/>
        </w:rPr>
        <w:t>1）路床填料应均匀、密实，并符合</w:t>
      </w:r>
      <w:r>
        <w:rPr>
          <w:rFonts w:hint="eastAsia" w:asciiTheme="minorEastAsia" w:hAnsiTheme="minorEastAsia"/>
          <w:sz w:val="24"/>
          <w:lang w:val="en-US" w:eastAsia="zh-CN"/>
        </w:rPr>
        <w:t>下表</w:t>
      </w:r>
      <w:r>
        <w:rPr>
          <w:rFonts w:hint="eastAsia" w:asciiTheme="minorEastAsia" w:hAnsiTheme="minorEastAsia"/>
          <w:sz w:val="24"/>
        </w:rPr>
        <w:t>的规定。</w:t>
      </w:r>
    </w:p>
    <w:p w14:paraId="66D01F73">
      <w:pPr>
        <w:widowControl/>
        <w:spacing w:line="360" w:lineRule="auto"/>
        <w:ind w:firstLine="480" w:firstLineChars="200"/>
        <w:rPr>
          <w:rFonts w:asciiTheme="minorEastAsia" w:hAnsiTheme="minorEastAsia"/>
          <w:sz w:val="24"/>
        </w:rPr>
      </w:pPr>
      <w:r>
        <w:rPr>
          <w:rFonts w:hint="eastAsia" w:asciiTheme="minorEastAsia" w:hAnsiTheme="minorEastAsia"/>
          <w:sz w:val="24"/>
        </w:rPr>
        <w:t>2）路床填料最大粒径应小于100mm，路床顶面横坡应与路拱横坡一致。</w:t>
      </w:r>
    </w:p>
    <w:p w14:paraId="30D5BD51">
      <w:pPr>
        <w:widowControl/>
        <w:spacing w:line="360" w:lineRule="auto"/>
        <w:ind w:firstLine="480" w:firstLineChars="200"/>
        <w:rPr>
          <w:rFonts w:asciiTheme="minorEastAsia" w:hAnsiTheme="minorEastAsia"/>
          <w:sz w:val="24"/>
        </w:rPr>
      </w:pPr>
      <w:r>
        <w:rPr>
          <w:rFonts w:hint="eastAsia" w:asciiTheme="minorEastAsia" w:hAnsiTheme="minorEastAsia"/>
          <w:sz w:val="24"/>
        </w:rPr>
        <w:t>3）填方路基应优先选用级配良好的砾类土、砂类土等粗粒土作为填料，最大粒径应小于150mm。</w:t>
      </w:r>
    </w:p>
    <w:p w14:paraId="4071D99B">
      <w:pPr>
        <w:widowControl/>
        <w:spacing w:line="360" w:lineRule="auto"/>
        <w:ind w:firstLine="480" w:firstLineChars="200"/>
        <w:rPr>
          <w:rFonts w:asciiTheme="minorEastAsia" w:hAnsiTheme="minorEastAsia"/>
          <w:sz w:val="24"/>
        </w:rPr>
      </w:pPr>
      <w:r>
        <w:rPr>
          <w:rFonts w:hint="eastAsia" w:asciiTheme="minorEastAsia" w:hAnsiTheme="minorEastAsia"/>
          <w:sz w:val="24"/>
        </w:rPr>
        <w:t>4）泥炭、淤泥、冻土、强膨胀土、有机质土及易溶盐超过允许含量的土等，不得直接用于填筑路基。</w:t>
      </w:r>
    </w:p>
    <w:p w14:paraId="0FC75D84">
      <w:pPr>
        <w:widowControl/>
        <w:spacing w:line="360" w:lineRule="auto"/>
        <w:ind w:firstLine="480" w:firstLineChars="200"/>
        <w:rPr>
          <w:rFonts w:asciiTheme="minorEastAsia" w:hAnsiTheme="minorEastAsia"/>
          <w:sz w:val="24"/>
        </w:rPr>
      </w:pPr>
      <w:r>
        <w:rPr>
          <w:rFonts w:hint="eastAsia" w:asciiTheme="minorEastAsia" w:hAnsiTheme="minorEastAsia"/>
          <w:sz w:val="24"/>
        </w:rPr>
        <w:t>5）当采用细粒土填筑时，路堤填料最小强度应满足</w:t>
      </w:r>
      <w:r>
        <w:rPr>
          <w:rFonts w:hint="eastAsia" w:asciiTheme="minorEastAsia" w:hAnsiTheme="minorEastAsia"/>
          <w:sz w:val="24"/>
          <w:lang w:val="en-US" w:eastAsia="zh-CN"/>
        </w:rPr>
        <w:t>下表</w:t>
      </w:r>
      <w:r>
        <w:rPr>
          <w:rFonts w:hint="eastAsia" w:asciiTheme="minorEastAsia" w:hAnsiTheme="minorEastAsia"/>
          <w:sz w:val="24"/>
        </w:rPr>
        <w:t>中路基填料最小强度的要求。当路基填料的CBR值达不到表中要求时，可采用掺石灰或其他稳定材料进行处理。</w:t>
      </w:r>
    </w:p>
    <w:p w14:paraId="7B86F66A">
      <w:pPr>
        <w:widowControl/>
        <w:spacing w:line="360" w:lineRule="auto"/>
        <w:ind w:firstLine="480" w:firstLineChars="200"/>
        <w:rPr>
          <w:rFonts w:asciiTheme="minorEastAsia" w:hAnsiTheme="minorEastAsia"/>
          <w:sz w:val="24"/>
        </w:rPr>
      </w:pPr>
      <w:r>
        <w:rPr>
          <w:rFonts w:hint="eastAsia" w:asciiTheme="minorEastAsia" w:hAnsiTheme="minorEastAsia"/>
          <w:sz w:val="24"/>
        </w:rPr>
        <w:t>6）液限大于50%、塑性指数大于26的细土，不得直接作为路堤填料。</w:t>
      </w:r>
    </w:p>
    <w:p w14:paraId="69802D8D">
      <w:pPr>
        <w:widowControl/>
        <w:spacing w:line="360" w:lineRule="auto"/>
        <w:ind w:firstLine="480" w:firstLineChars="200"/>
        <w:rPr>
          <w:rFonts w:asciiTheme="minorEastAsia" w:hAnsiTheme="minorEastAsia"/>
          <w:sz w:val="24"/>
        </w:rPr>
      </w:pPr>
      <w:r>
        <w:rPr>
          <w:rFonts w:hint="eastAsia" w:asciiTheme="minorEastAsia" w:hAnsiTheme="minorEastAsia"/>
          <w:sz w:val="24"/>
        </w:rPr>
        <w:t>7）浸水路堤应选用渗水性良好的材料填筑。</w:t>
      </w:r>
    </w:p>
    <w:p w14:paraId="2884325F">
      <w:pPr>
        <w:widowControl/>
        <w:spacing w:line="360" w:lineRule="auto"/>
        <w:ind w:firstLine="480" w:firstLineChars="200"/>
        <w:rPr>
          <w:rFonts w:ascii="宋体" w:hAnsi="宋体" w:eastAsia="宋体" w:cs="宋体"/>
          <w:sz w:val="24"/>
          <w:szCs w:val="24"/>
        </w:rPr>
      </w:pPr>
      <w:r>
        <w:rPr>
          <w:rFonts w:hint="eastAsia" w:asciiTheme="minorEastAsia" w:hAnsiTheme="minorEastAsia"/>
          <w:sz w:val="24"/>
        </w:rPr>
        <w:t>8）本项目路堤填料以一般粘土和砂性土为主，并部分利用挖方。</w:t>
      </w:r>
    </w:p>
    <w:p w14:paraId="1D206449">
      <w:pPr>
        <w:pStyle w:val="88"/>
        <w:adjustRightInd w:val="0"/>
        <w:snapToGrid w:val="0"/>
        <w:ind w:firstLine="0" w:firstLineChars="0"/>
        <w:jc w:val="center"/>
        <w:rPr>
          <w:rFonts w:ascii="宋体" w:hAnsi="宋体" w:cs="宋体"/>
          <w:sz w:val="24"/>
          <w:szCs w:val="24"/>
        </w:rPr>
      </w:pPr>
      <w:r>
        <w:rPr>
          <w:rFonts w:hint="eastAsia" w:ascii="宋体" w:hAnsi="宋体" w:cs="宋体"/>
          <w:sz w:val="24"/>
          <w:szCs w:val="24"/>
        </w:rPr>
        <w:t>城市支路路基填料最小强度（CBR）、最大粒径和压实度表</w:t>
      </w:r>
    </w:p>
    <w:tbl>
      <w:tblPr>
        <w:tblStyle w:val="31"/>
        <w:tblW w:w="0" w:type="auto"/>
        <w:jc w:val="center"/>
        <w:tblLayout w:type="autofit"/>
        <w:tblCellMar>
          <w:top w:w="0" w:type="dxa"/>
          <w:left w:w="108" w:type="dxa"/>
          <w:bottom w:w="0" w:type="dxa"/>
          <w:right w:w="108" w:type="dxa"/>
        </w:tblCellMar>
      </w:tblPr>
      <w:tblGrid>
        <w:gridCol w:w="1176"/>
        <w:gridCol w:w="936"/>
        <w:gridCol w:w="2616"/>
        <w:gridCol w:w="1656"/>
        <w:gridCol w:w="1656"/>
        <w:gridCol w:w="1296"/>
      </w:tblGrid>
      <w:tr w14:paraId="10F74201">
        <w:tblPrEx>
          <w:tblCellMar>
            <w:top w:w="0" w:type="dxa"/>
            <w:left w:w="108" w:type="dxa"/>
            <w:bottom w:w="0" w:type="dxa"/>
            <w:right w:w="108" w:type="dxa"/>
          </w:tblCellMar>
        </w:tblPrEx>
        <w:trPr>
          <w:trHeight w:val="570" w:hRule="atLeast"/>
          <w:jc w:val="center"/>
        </w:trPr>
        <w:tc>
          <w:tcPr>
            <w:tcW w:w="0" w:type="auto"/>
            <w:gridSpan w:val="2"/>
            <w:vMerge w:val="restart"/>
            <w:tcBorders>
              <w:top w:val="single" w:color="000000" w:sz="4" w:space="0"/>
              <w:left w:val="single" w:color="000000" w:sz="4" w:space="0"/>
              <w:bottom w:val="single" w:color="000000" w:sz="4" w:space="0"/>
              <w:right w:val="single" w:color="000000" w:sz="4" w:space="0"/>
            </w:tcBorders>
            <w:vAlign w:val="center"/>
          </w:tcPr>
          <w:p w14:paraId="5DA4449A">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项目分类</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3498023C">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路面底面以下深度(cm)</w:t>
            </w:r>
          </w:p>
        </w:tc>
        <w:tc>
          <w:tcPr>
            <w:tcW w:w="0" w:type="auto"/>
            <w:tcBorders>
              <w:top w:val="single" w:color="000000" w:sz="4" w:space="0"/>
              <w:left w:val="single" w:color="000000" w:sz="4" w:space="0"/>
              <w:bottom w:val="single" w:color="000000" w:sz="4" w:space="0"/>
              <w:right w:val="single" w:color="000000" w:sz="4" w:space="0"/>
            </w:tcBorders>
            <w:vAlign w:val="center"/>
          </w:tcPr>
          <w:p w14:paraId="75BB3640">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填料最小强度</w:t>
            </w:r>
          </w:p>
        </w:tc>
        <w:tc>
          <w:tcPr>
            <w:tcW w:w="0" w:type="auto"/>
            <w:tcBorders>
              <w:top w:val="single" w:color="000000" w:sz="4" w:space="0"/>
              <w:left w:val="single" w:color="000000" w:sz="4" w:space="0"/>
              <w:bottom w:val="single" w:color="000000" w:sz="4" w:space="0"/>
              <w:right w:val="single" w:color="000000" w:sz="4" w:space="0"/>
            </w:tcBorders>
            <w:vAlign w:val="center"/>
          </w:tcPr>
          <w:p w14:paraId="1F34497B">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填料最大粒径</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30619C30">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压实度(%)</w:t>
            </w:r>
          </w:p>
        </w:tc>
      </w:tr>
      <w:tr w14:paraId="6D560D83">
        <w:tblPrEx>
          <w:tblCellMar>
            <w:top w:w="0" w:type="dxa"/>
            <w:left w:w="108" w:type="dxa"/>
            <w:bottom w:w="0" w:type="dxa"/>
            <w:right w:w="108" w:type="dxa"/>
          </w:tblCellMar>
        </w:tblPrEx>
        <w:trPr>
          <w:trHeight w:val="570" w:hRule="atLeast"/>
          <w:jc w:val="center"/>
        </w:trPr>
        <w:tc>
          <w:tcPr>
            <w:tcW w:w="0" w:type="auto"/>
            <w:gridSpan w:val="2"/>
            <w:vMerge w:val="continue"/>
            <w:tcBorders>
              <w:top w:val="single" w:color="000000" w:sz="4" w:space="0"/>
              <w:left w:val="single" w:color="000000" w:sz="4" w:space="0"/>
              <w:bottom w:val="single" w:color="000000" w:sz="4" w:space="0"/>
              <w:right w:val="single" w:color="000000" w:sz="4" w:space="0"/>
            </w:tcBorders>
            <w:vAlign w:val="center"/>
          </w:tcPr>
          <w:p w14:paraId="5E2CF3D7">
            <w:pPr>
              <w:jc w:val="center"/>
              <w:rPr>
                <w:rFonts w:ascii="宋体" w:hAnsi="宋体" w:eastAsia="宋体" w:cs="宋体"/>
                <w:color w:val="000000"/>
                <w:sz w:val="24"/>
                <w:szCs w:val="24"/>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06B1FDF2">
            <w:pPr>
              <w:jc w:val="center"/>
              <w:rPr>
                <w:rFonts w:ascii="宋体" w:hAnsi="宋体" w:eastAsia="宋体" w:cs="宋体"/>
                <w:color w:val="000000"/>
                <w:sz w:val="24"/>
                <w:szCs w:val="24"/>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7187924F">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（CBR）(%)</w:t>
            </w:r>
          </w:p>
        </w:tc>
        <w:tc>
          <w:tcPr>
            <w:tcW w:w="0" w:type="auto"/>
            <w:tcBorders>
              <w:top w:val="single" w:color="000000" w:sz="4" w:space="0"/>
              <w:left w:val="single" w:color="000000" w:sz="4" w:space="0"/>
              <w:bottom w:val="single" w:color="000000" w:sz="4" w:space="0"/>
              <w:right w:val="single" w:color="000000" w:sz="4" w:space="0"/>
            </w:tcBorders>
            <w:vAlign w:val="center"/>
          </w:tcPr>
          <w:p w14:paraId="00138EE6">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（cm）</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19372AAB">
            <w:pPr>
              <w:jc w:val="center"/>
              <w:rPr>
                <w:rFonts w:ascii="宋体" w:hAnsi="宋体" w:eastAsia="宋体" w:cs="宋体"/>
                <w:color w:val="000000"/>
                <w:sz w:val="24"/>
                <w:szCs w:val="24"/>
              </w:rPr>
            </w:pPr>
          </w:p>
        </w:tc>
      </w:tr>
      <w:tr w14:paraId="45D3CDA2">
        <w:tblPrEx>
          <w:tblCellMar>
            <w:top w:w="0" w:type="dxa"/>
            <w:left w:w="108" w:type="dxa"/>
            <w:bottom w:w="0" w:type="dxa"/>
            <w:right w:w="108" w:type="dxa"/>
          </w:tblCellMar>
        </w:tblPrEx>
        <w:trPr>
          <w:trHeight w:val="360" w:hRule="atLeast"/>
          <w:jc w:val="center"/>
        </w:trPr>
        <w:tc>
          <w:tcPr>
            <w:tcW w:w="0" w:type="auto"/>
            <w:vMerge w:val="restart"/>
            <w:tcBorders>
              <w:top w:val="single" w:color="000000" w:sz="4" w:space="0"/>
              <w:left w:val="single" w:color="000000" w:sz="4" w:space="0"/>
              <w:right w:val="single" w:color="000000" w:sz="4" w:space="0"/>
            </w:tcBorders>
            <w:vAlign w:val="center"/>
          </w:tcPr>
          <w:p w14:paraId="22E22896">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填方路基</w:t>
            </w:r>
          </w:p>
        </w:tc>
        <w:tc>
          <w:tcPr>
            <w:tcW w:w="0" w:type="auto"/>
            <w:tcBorders>
              <w:top w:val="single" w:color="000000" w:sz="4" w:space="0"/>
              <w:left w:val="single" w:color="000000" w:sz="4" w:space="0"/>
              <w:bottom w:val="single" w:color="000000" w:sz="4" w:space="0"/>
              <w:right w:val="single" w:color="000000" w:sz="4" w:space="0"/>
            </w:tcBorders>
            <w:vAlign w:val="center"/>
          </w:tcPr>
          <w:p w14:paraId="0574D710">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上路床</w:t>
            </w:r>
          </w:p>
        </w:tc>
        <w:tc>
          <w:tcPr>
            <w:tcW w:w="0" w:type="auto"/>
            <w:tcBorders>
              <w:top w:val="single" w:color="000000" w:sz="4" w:space="0"/>
              <w:left w:val="single" w:color="000000" w:sz="4" w:space="0"/>
              <w:bottom w:val="single" w:color="000000" w:sz="4" w:space="0"/>
              <w:right w:val="single" w:color="000000" w:sz="4" w:space="0"/>
            </w:tcBorders>
            <w:vAlign w:val="center"/>
          </w:tcPr>
          <w:p w14:paraId="0779B8CE">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0～30</w:t>
            </w:r>
          </w:p>
        </w:tc>
        <w:tc>
          <w:tcPr>
            <w:tcW w:w="0" w:type="auto"/>
            <w:tcBorders>
              <w:top w:val="single" w:color="000000" w:sz="4" w:space="0"/>
              <w:left w:val="single" w:color="000000" w:sz="4" w:space="0"/>
              <w:bottom w:val="single" w:color="000000" w:sz="4" w:space="0"/>
              <w:right w:val="single" w:color="000000" w:sz="4" w:space="0"/>
            </w:tcBorders>
          </w:tcPr>
          <w:p w14:paraId="0652B65F">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5</w:t>
            </w:r>
          </w:p>
        </w:tc>
        <w:tc>
          <w:tcPr>
            <w:tcW w:w="0" w:type="auto"/>
            <w:tcBorders>
              <w:top w:val="single" w:color="000000" w:sz="4" w:space="0"/>
              <w:left w:val="single" w:color="000000" w:sz="4" w:space="0"/>
              <w:bottom w:val="single" w:color="000000" w:sz="4" w:space="0"/>
              <w:right w:val="single" w:color="000000" w:sz="4" w:space="0"/>
            </w:tcBorders>
          </w:tcPr>
          <w:p w14:paraId="26E3AB63">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10</w:t>
            </w:r>
          </w:p>
        </w:tc>
        <w:tc>
          <w:tcPr>
            <w:tcW w:w="0" w:type="auto"/>
            <w:tcBorders>
              <w:top w:val="single" w:color="000000" w:sz="4" w:space="0"/>
              <w:left w:val="single" w:color="000000" w:sz="4" w:space="0"/>
              <w:bottom w:val="single" w:color="000000" w:sz="4" w:space="0"/>
              <w:right w:val="single" w:color="000000" w:sz="4" w:space="0"/>
            </w:tcBorders>
          </w:tcPr>
          <w:p w14:paraId="34E3CD7F">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≥9</w:t>
            </w:r>
            <w:r>
              <w:rPr>
                <w:rFonts w:ascii="宋体" w:hAnsi="宋体" w:eastAsia="宋体" w:cs="宋体"/>
                <w:color w:val="000000"/>
                <w:kern w:val="0"/>
                <w:sz w:val="24"/>
                <w:szCs w:val="24"/>
                <w:lang w:bidi="ar"/>
              </w:rPr>
              <w:t>2</w:t>
            </w:r>
          </w:p>
        </w:tc>
      </w:tr>
      <w:tr w14:paraId="55FBC738">
        <w:tblPrEx>
          <w:tblCellMar>
            <w:top w:w="0" w:type="dxa"/>
            <w:left w:w="108" w:type="dxa"/>
            <w:bottom w:w="0" w:type="dxa"/>
            <w:right w:w="108" w:type="dxa"/>
          </w:tblCellMar>
        </w:tblPrEx>
        <w:trPr>
          <w:trHeight w:val="360" w:hRule="atLeast"/>
          <w:jc w:val="center"/>
        </w:trPr>
        <w:tc>
          <w:tcPr>
            <w:tcW w:w="0" w:type="auto"/>
            <w:vMerge w:val="continue"/>
            <w:tcBorders>
              <w:left w:val="single" w:color="000000" w:sz="4" w:space="0"/>
              <w:right w:val="single" w:color="000000" w:sz="4" w:space="0"/>
            </w:tcBorders>
            <w:vAlign w:val="center"/>
          </w:tcPr>
          <w:p w14:paraId="604C2D07">
            <w:pPr>
              <w:widowControl/>
              <w:jc w:val="center"/>
              <w:textAlignment w:val="center"/>
              <w:rPr>
                <w:rFonts w:ascii="宋体" w:hAnsi="宋体" w:eastAsia="宋体" w:cs="宋体"/>
                <w:color w:val="000000"/>
                <w:sz w:val="24"/>
                <w:szCs w:val="24"/>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09570D41">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下路床</w:t>
            </w:r>
          </w:p>
        </w:tc>
        <w:tc>
          <w:tcPr>
            <w:tcW w:w="0" w:type="auto"/>
            <w:tcBorders>
              <w:top w:val="single" w:color="000000" w:sz="4" w:space="0"/>
              <w:left w:val="single" w:color="000000" w:sz="4" w:space="0"/>
              <w:bottom w:val="single" w:color="000000" w:sz="4" w:space="0"/>
              <w:right w:val="single" w:color="000000" w:sz="4" w:space="0"/>
            </w:tcBorders>
            <w:vAlign w:val="center"/>
          </w:tcPr>
          <w:p w14:paraId="56699E9D">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30～80</w:t>
            </w:r>
          </w:p>
        </w:tc>
        <w:tc>
          <w:tcPr>
            <w:tcW w:w="0" w:type="auto"/>
            <w:tcBorders>
              <w:top w:val="single" w:color="000000" w:sz="4" w:space="0"/>
              <w:left w:val="single" w:color="000000" w:sz="4" w:space="0"/>
              <w:bottom w:val="single" w:color="000000" w:sz="4" w:space="0"/>
              <w:right w:val="single" w:color="000000" w:sz="4" w:space="0"/>
            </w:tcBorders>
          </w:tcPr>
          <w:p w14:paraId="7285B2F8">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3</w:t>
            </w:r>
          </w:p>
        </w:tc>
        <w:tc>
          <w:tcPr>
            <w:tcW w:w="0" w:type="auto"/>
            <w:tcBorders>
              <w:top w:val="single" w:color="000000" w:sz="4" w:space="0"/>
              <w:left w:val="single" w:color="000000" w:sz="4" w:space="0"/>
              <w:bottom w:val="single" w:color="000000" w:sz="4" w:space="0"/>
              <w:right w:val="single" w:color="000000" w:sz="4" w:space="0"/>
            </w:tcBorders>
          </w:tcPr>
          <w:p w14:paraId="38206C50">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10</w:t>
            </w:r>
          </w:p>
        </w:tc>
        <w:tc>
          <w:tcPr>
            <w:tcW w:w="0" w:type="auto"/>
            <w:tcBorders>
              <w:top w:val="single" w:color="000000" w:sz="4" w:space="0"/>
              <w:left w:val="single" w:color="000000" w:sz="4" w:space="0"/>
              <w:bottom w:val="single" w:color="000000" w:sz="4" w:space="0"/>
              <w:right w:val="single" w:color="000000" w:sz="4" w:space="0"/>
            </w:tcBorders>
          </w:tcPr>
          <w:p w14:paraId="5AA4E8C9">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≥9</w:t>
            </w:r>
            <w:r>
              <w:rPr>
                <w:rFonts w:ascii="宋体" w:hAnsi="宋体" w:eastAsia="宋体" w:cs="宋体"/>
                <w:color w:val="000000"/>
                <w:kern w:val="0"/>
                <w:sz w:val="24"/>
                <w:szCs w:val="24"/>
                <w:lang w:bidi="ar"/>
              </w:rPr>
              <w:t>2</w:t>
            </w:r>
          </w:p>
        </w:tc>
      </w:tr>
      <w:tr w14:paraId="6F528339">
        <w:tblPrEx>
          <w:tblCellMar>
            <w:top w:w="0" w:type="dxa"/>
            <w:left w:w="108" w:type="dxa"/>
            <w:bottom w:w="0" w:type="dxa"/>
            <w:right w:w="108" w:type="dxa"/>
          </w:tblCellMar>
        </w:tblPrEx>
        <w:trPr>
          <w:trHeight w:val="360" w:hRule="atLeast"/>
          <w:jc w:val="center"/>
        </w:trPr>
        <w:tc>
          <w:tcPr>
            <w:tcW w:w="0" w:type="auto"/>
            <w:vMerge w:val="continue"/>
            <w:tcBorders>
              <w:left w:val="single" w:color="000000" w:sz="4" w:space="0"/>
              <w:right w:val="single" w:color="000000" w:sz="4" w:space="0"/>
            </w:tcBorders>
            <w:noWrap/>
            <w:vAlign w:val="center"/>
          </w:tcPr>
          <w:p w14:paraId="73C4A99E">
            <w:pPr>
              <w:jc w:val="center"/>
              <w:rPr>
                <w:rFonts w:ascii="宋体" w:hAnsi="宋体" w:eastAsia="宋体" w:cs="宋体"/>
                <w:color w:val="000000"/>
                <w:sz w:val="24"/>
                <w:szCs w:val="24"/>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478B4401">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上路堤</w:t>
            </w:r>
          </w:p>
        </w:tc>
        <w:tc>
          <w:tcPr>
            <w:tcW w:w="0" w:type="auto"/>
            <w:tcBorders>
              <w:top w:val="single" w:color="000000" w:sz="4" w:space="0"/>
              <w:left w:val="single" w:color="000000" w:sz="4" w:space="0"/>
              <w:bottom w:val="single" w:color="000000" w:sz="4" w:space="0"/>
              <w:right w:val="single" w:color="000000" w:sz="4" w:space="0"/>
            </w:tcBorders>
            <w:vAlign w:val="center"/>
          </w:tcPr>
          <w:p w14:paraId="3057729F">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80～150</w:t>
            </w:r>
          </w:p>
        </w:tc>
        <w:tc>
          <w:tcPr>
            <w:tcW w:w="0" w:type="auto"/>
            <w:tcBorders>
              <w:top w:val="single" w:color="000000" w:sz="4" w:space="0"/>
              <w:left w:val="single" w:color="000000" w:sz="4" w:space="0"/>
              <w:bottom w:val="single" w:color="000000" w:sz="4" w:space="0"/>
              <w:right w:val="single" w:color="000000" w:sz="4" w:space="0"/>
            </w:tcBorders>
          </w:tcPr>
          <w:p w14:paraId="522DD8C0">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3</w:t>
            </w:r>
          </w:p>
        </w:tc>
        <w:tc>
          <w:tcPr>
            <w:tcW w:w="0" w:type="auto"/>
            <w:tcBorders>
              <w:top w:val="single" w:color="000000" w:sz="4" w:space="0"/>
              <w:left w:val="single" w:color="000000" w:sz="4" w:space="0"/>
              <w:bottom w:val="single" w:color="000000" w:sz="4" w:space="0"/>
              <w:right w:val="single" w:color="000000" w:sz="4" w:space="0"/>
            </w:tcBorders>
          </w:tcPr>
          <w:p w14:paraId="36EEF8C6">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15</w:t>
            </w:r>
          </w:p>
        </w:tc>
        <w:tc>
          <w:tcPr>
            <w:tcW w:w="0" w:type="auto"/>
            <w:tcBorders>
              <w:top w:val="single" w:color="000000" w:sz="4" w:space="0"/>
              <w:left w:val="single" w:color="000000" w:sz="4" w:space="0"/>
              <w:bottom w:val="single" w:color="000000" w:sz="4" w:space="0"/>
              <w:right w:val="single" w:color="000000" w:sz="4" w:space="0"/>
            </w:tcBorders>
          </w:tcPr>
          <w:p w14:paraId="56914B1B">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≥9</w:t>
            </w:r>
            <w:r>
              <w:rPr>
                <w:rFonts w:ascii="宋体" w:hAnsi="宋体" w:eastAsia="宋体" w:cs="宋体"/>
                <w:color w:val="000000"/>
                <w:kern w:val="0"/>
                <w:sz w:val="24"/>
                <w:szCs w:val="24"/>
                <w:lang w:bidi="ar"/>
              </w:rPr>
              <w:t>1</w:t>
            </w:r>
          </w:p>
        </w:tc>
      </w:tr>
      <w:tr w14:paraId="33E21A73">
        <w:tblPrEx>
          <w:tblCellMar>
            <w:top w:w="0" w:type="dxa"/>
            <w:left w:w="108" w:type="dxa"/>
            <w:bottom w:w="0" w:type="dxa"/>
            <w:right w:w="108" w:type="dxa"/>
          </w:tblCellMar>
        </w:tblPrEx>
        <w:trPr>
          <w:trHeight w:val="360" w:hRule="atLeast"/>
          <w:jc w:val="center"/>
        </w:trPr>
        <w:tc>
          <w:tcPr>
            <w:tcW w:w="0" w:type="auto"/>
            <w:vMerge w:val="continue"/>
            <w:tcBorders>
              <w:left w:val="single" w:color="000000" w:sz="4" w:space="0"/>
              <w:bottom w:val="single" w:color="000000" w:sz="4" w:space="0"/>
              <w:right w:val="single" w:color="000000" w:sz="4" w:space="0"/>
            </w:tcBorders>
            <w:noWrap/>
            <w:vAlign w:val="center"/>
          </w:tcPr>
          <w:p w14:paraId="0C33BC4A">
            <w:pPr>
              <w:jc w:val="center"/>
              <w:rPr>
                <w:rFonts w:ascii="宋体" w:hAnsi="宋体" w:eastAsia="宋体" w:cs="宋体"/>
                <w:color w:val="000000"/>
                <w:sz w:val="24"/>
                <w:szCs w:val="24"/>
              </w:rPr>
            </w:pPr>
          </w:p>
        </w:tc>
        <w:tc>
          <w:tcPr>
            <w:tcW w:w="0" w:type="auto"/>
            <w:tcBorders>
              <w:top w:val="single" w:color="000000" w:sz="4" w:space="0"/>
              <w:left w:val="single" w:color="000000" w:sz="4" w:space="0"/>
              <w:bottom w:val="single" w:color="000000" w:sz="4" w:space="0"/>
              <w:right w:val="single" w:color="000000" w:sz="4" w:space="0"/>
            </w:tcBorders>
            <w:vAlign w:val="center"/>
          </w:tcPr>
          <w:p w14:paraId="33E8B958">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下路堤</w:t>
            </w:r>
          </w:p>
        </w:tc>
        <w:tc>
          <w:tcPr>
            <w:tcW w:w="0" w:type="auto"/>
            <w:tcBorders>
              <w:top w:val="single" w:color="000000" w:sz="4" w:space="0"/>
              <w:left w:val="single" w:color="000000" w:sz="4" w:space="0"/>
              <w:bottom w:val="single" w:color="000000" w:sz="4" w:space="0"/>
              <w:right w:val="single" w:color="000000" w:sz="4" w:space="0"/>
            </w:tcBorders>
            <w:vAlign w:val="center"/>
          </w:tcPr>
          <w:p w14:paraId="46F29E06">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150 以下</w:t>
            </w:r>
          </w:p>
        </w:tc>
        <w:tc>
          <w:tcPr>
            <w:tcW w:w="0" w:type="auto"/>
            <w:tcBorders>
              <w:top w:val="single" w:color="000000" w:sz="4" w:space="0"/>
              <w:left w:val="single" w:color="000000" w:sz="4" w:space="0"/>
              <w:bottom w:val="single" w:color="000000" w:sz="4" w:space="0"/>
              <w:right w:val="single" w:color="000000" w:sz="4" w:space="0"/>
            </w:tcBorders>
          </w:tcPr>
          <w:p w14:paraId="0616AE41">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2</w:t>
            </w:r>
          </w:p>
        </w:tc>
        <w:tc>
          <w:tcPr>
            <w:tcW w:w="0" w:type="auto"/>
            <w:tcBorders>
              <w:top w:val="single" w:color="000000" w:sz="4" w:space="0"/>
              <w:left w:val="single" w:color="000000" w:sz="4" w:space="0"/>
              <w:bottom w:val="single" w:color="000000" w:sz="4" w:space="0"/>
              <w:right w:val="single" w:color="000000" w:sz="4" w:space="0"/>
            </w:tcBorders>
          </w:tcPr>
          <w:p w14:paraId="44372504">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15</w:t>
            </w:r>
          </w:p>
        </w:tc>
        <w:tc>
          <w:tcPr>
            <w:tcW w:w="0" w:type="auto"/>
            <w:tcBorders>
              <w:top w:val="single" w:color="000000" w:sz="4" w:space="0"/>
              <w:left w:val="single" w:color="000000" w:sz="4" w:space="0"/>
              <w:bottom w:val="single" w:color="000000" w:sz="4" w:space="0"/>
              <w:right w:val="single" w:color="000000" w:sz="4" w:space="0"/>
            </w:tcBorders>
          </w:tcPr>
          <w:p w14:paraId="03D836A0">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≥90</w:t>
            </w:r>
          </w:p>
        </w:tc>
      </w:tr>
      <w:tr w14:paraId="4106A545">
        <w:tblPrEx>
          <w:tblCellMar>
            <w:top w:w="0" w:type="dxa"/>
            <w:left w:w="108" w:type="dxa"/>
            <w:bottom w:w="0" w:type="dxa"/>
            <w:right w:w="108" w:type="dxa"/>
          </w:tblCellMar>
        </w:tblPrEx>
        <w:trPr>
          <w:trHeight w:val="360" w:hRule="atLeast"/>
          <w:jc w:val="center"/>
        </w:trPr>
        <w:tc>
          <w:tcPr>
            <w:tcW w:w="0" w:type="auto"/>
            <w:gridSpan w:val="2"/>
            <w:tcBorders>
              <w:top w:val="single" w:color="000000" w:sz="4" w:space="0"/>
              <w:left w:val="single" w:color="000000" w:sz="4" w:space="0"/>
              <w:bottom w:val="single" w:color="000000" w:sz="4" w:space="0"/>
              <w:right w:val="single" w:color="000000" w:sz="4" w:space="0"/>
            </w:tcBorders>
            <w:vAlign w:val="center"/>
          </w:tcPr>
          <w:p w14:paraId="1267C645">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零填及路堑路床</w:t>
            </w:r>
          </w:p>
        </w:tc>
        <w:tc>
          <w:tcPr>
            <w:tcW w:w="0" w:type="auto"/>
            <w:tcBorders>
              <w:top w:val="single" w:color="000000" w:sz="4" w:space="0"/>
              <w:left w:val="single" w:color="000000" w:sz="4" w:space="0"/>
              <w:bottom w:val="single" w:color="000000" w:sz="4" w:space="0"/>
              <w:right w:val="single" w:color="000000" w:sz="4" w:space="0"/>
            </w:tcBorders>
            <w:vAlign w:val="center"/>
          </w:tcPr>
          <w:p w14:paraId="654B0109">
            <w:pPr>
              <w:widowControl/>
              <w:jc w:val="center"/>
              <w:textAlignment w:val="center"/>
              <w:rPr>
                <w:rFonts w:ascii="宋体" w:hAnsi="宋体" w:eastAsia="宋体" w:cs="宋体"/>
                <w:color w:val="000000"/>
                <w:sz w:val="24"/>
                <w:szCs w:val="24"/>
              </w:rPr>
            </w:pPr>
            <w:r>
              <w:rPr>
                <w:rFonts w:hint="eastAsia" w:ascii="宋体" w:hAnsi="宋体" w:eastAsia="宋体" w:cs="宋体"/>
                <w:color w:val="000000"/>
                <w:kern w:val="0"/>
                <w:sz w:val="24"/>
                <w:szCs w:val="24"/>
                <w:lang w:bidi="ar"/>
              </w:rPr>
              <w:t>0～30</w:t>
            </w:r>
          </w:p>
        </w:tc>
        <w:tc>
          <w:tcPr>
            <w:tcW w:w="0" w:type="auto"/>
            <w:tcBorders>
              <w:top w:val="single" w:color="000000" w:sz="4" w:space="0"/>
              <w:left w:val="single" w:color="000000" w:sz="4" w:space="0"/>
              <w:bottom w:val="single" w:color="000000" w:sz="4" w:space="0"/>
              <w:right w:val="single" w:color="000000" w:sz="4" w:space="0"/>
            </w:tcBorders>
          </w:tcPr>
          <w:p w14:paraId="28C2C530">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6</w:t>
            </w:r>
          </w:p>
        </w:tc>
        <w:tc>
          <w:tcPr>
            <w:tcW w:w="0" w:type="auto"/>
            <w:tcBorders>
              <w:top w:val="single" w:color="000000" w:sz="4" w:space="0"/>
              <w:left w:val="single" w:color="000000" w:sz="4" w:space="0"/>
              <w:bottom w:val="single" w:color="000000" w:sz="4" w:space="0"/>
              <w:right w:val="single" w:color="000000" w:sz="4" w:space="0"/>
            </w:tcBorders>
          </w:tcPr>
          <w:p w14:paraId="2DE08E75">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10</w:t>
            </w:r>
          </w:p>
        </w:tc>
        <w:tc>
          <w:tcPr>
            <w:tcW w:w="0" w:type="auto"/>
            <w:tcBorders>
              <w:top w:val="single" w:color="000000" w:sz="4" w:space="0"/>
              <w:left w:val="single" w:color="000000" w:sz="4" w:space="0"/>
              <w:bottom w:val="single" w:color="000000" w:sz="4" w:space="0"/>
              <w:right w:val="single" w:color="000000" w:sz="4" w:space="0"/>
            </w:tcBorders>
          </w:tcPr>
          <w:p w14:paraId="4540285A">
            <w:pPr>
              <w:widowControl/>
              <w:jc w:val="center"/>
              <w:textAlignment w:val="top"/>
              <w:rPr>
                <w:rFonts w:ascii="宋体" w:hAnsi="宋体" w:eastAsia="宋体" w:cs="宋体"/>
                <w:color w:val="000000"/>
                <w:sz w:val="24"/>
                <w:szCs w:val="24"/>
              </w:rPr>
            </w:pPr>
            <w:r>
              <w:rPr>
                <w:rFonts w:hint="eastAsia" w:ascii="宋体" w:hAnsi="宋体" w:eastAsia="宋体" w:cs="宋体"/>
                <w:color w:val="000000"/>
                <w:kern w:val="0"/>
                <w:sz w:val="24"/>
                <w:szCs w:val="24"/>
                <w:lang w:bidi="ar"/>
              </w:rPr>
              <w:t>≥9</w:t>
            </w:r>
            <w:r>
              <w:rPr>
                <w:rFonts w:ascii="宋体" w:hAnsi="宋体" w:eastAsia="宋体" w:cs="宋体"/>
                <w:color w:val="000000"/>
                <w:kern w:val="0"/>
                <w:sz w:val="24"/>
                <w:szCs w:val="24"/>
                <w:lang w:bidi="ar"/>
              </w:rPr>
              <w:t>2</w:t>
            </w:r>
          </w:p>
        </w:tc>
      </w:tr>
    </w:tbl>
    <w:p w14:paraId="3C328FE3">
      <w:pPr>
        <w:widowControl/>
        <w:spacing w:line="360" w:lineRule="auto"/>
        <w:ind w:firstLine="480" w:firstLineChars="200"/>
        <w:rPr>
          <w:rFonts w:asciiTheme="minorEastAsia" w:hAnsiTheme="minorEastAsia"/>
          <w:sz w:val="24"/>
        </w:rPr>
      </w:pPr>
      <w:r>
        <w:rPr>
          <w:rFonts w:hint="eastAsia" w:asciiTheme="minorEastAsia" w:hAnsiTheme="minorEastAsia"/>
          <w:sz w:val="24"/>
        </w:rPr>
        <w:t>B、路基压实</w:t>
      </w:r>
    </w:p>
    <w:p w14:paraId="68511A81">
      <w:pPr>
        <w:widowControl/>
        <w:spacing w:line="360" w:lineRule="auto"/>
        <w:ind w:firstLine="480" w:firstLineChars="200"/>
        <w:rPr>
          <w:rFonts w:asciiTheme="minorEastAsia" w:hAnsiTheme="minorEastAsia"/>
          <w:sz w:val="24"/>
        </w:rPr>
      </w:pPr>
      <w:r>
        <w:rPr>
          <w:rFonts w:hint="eastAsia" w:asciiTheme="minorEastAsia" w:hAnsiTheme="minorEastAsia"/>
          <w:sz w:val="24"/>
        </w:rPr>
        <w:t>路堤应分层铺筑，均匀压实，压实度应符合</w:t>
      </w:r>
      <w:r>
        <w:rPr>
          <w:rFonts w:hint="eastAsia" w:asciiTheme="minorEastAsia" w:hAnsiTheme="minorEastAsia"/>
          <w:sz w:val="24"/>
          <w:lang w:val="en-US" w:eastAsia="zh-CN"/>
        </w:rPr>
        <w:t>下表</w:t>
      </w:r>
      <w:r>
        <w:rPr>
          <w:rFonts w:hint="eastAsia" w:asciiTheme="minorEastAsia" w:hAnsiTheme="minorEastAsia"/>
          <w:sz w:val="24"/>
        </w:rPr>
        <w:t>中的规定。当采用细粒土作为填料时，土的含水量应接近最佳含水量，当土的含水量过高时，应采取晾晒或掺入石灰、水泥、粉煤灰等材料进行处置。</w:t>
      </w:r>
    </w:p>
    <w:p w14:paraId="0936EE4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其他管顶及沟槽对填料的强度和压实度要求应符合以下的规定。</w:t>
      </w:r>
    </w:p>
    <w:p w14:paraId="346DD52C">
      <w:pPr>
        <w:pStyle w:val="3"/>
        <w:rPr>
          <w:rFonts w:hint="eastAsia" w:asciiTheme="minorEastAsia" w:hAnsiTheme="minorEastAsia"/>
          <w:sz w:val="24"/>
        </w:rPr>
      </w:pPr>
    </w:p>
    <w:p w14:paraId="2A8AC72F">
      <w:pPr>
        <w:pStyle w:val="3"/>
        <w:rPr>
          <w:rFonts w:hint="eastAsia" w:asciiTheme="minorEastAsia" w:hAnsiTheme="minorEastAsia"/>
          <w:sz w:val="24"/>
        </w:rPr>
      </w:pPr>
    </w:p>
    <w:p w14:paraId="5F3E88F2">
      <w:pPr>
        <w:pStyle w:val="88"/>
        <w:adjustRightInd w:val="0"/>
        <w:snapToGrid w:val="0"/>
        <w:ind w:firstLine="0" w:firstLineChars="0"/>
        <w:jc w:val="center"/>
        <w:rPr>
          <w:rFonts w:ascii="宋体" w:hAnsi="宋体" w:cs="宋体"/>
          <w:sz w:val="24"/>
          <w:szCs w:val="24"/>
        </w:rPr>
      </w:pPr>
      <w:r>
        <w:rPr>
          <w:rFonts w:hint="eastAsia" w:ascii="宋体" w:hAnsi="宋体" w:cs="宋体"/>
          <w:sz w:val="24"/>
          <w:szCs w:val="24"/>
        </w:rPr>
        <w:t>沟槽、检查井、雨水口回填料和压实度要求表</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20"/>
        <w:gridCol w:w="2081"/>
        <w:gridCol w:w="2779"/>
        <w:gridCol w:w="1440"/>
        <w:gridCol w:w="1800"/>
      </w:tblGrid>
      <w:tr w14:paraId="520F0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jc w:val="center"/>
        </w:trPr>
        <w:tc>
          <w:tcPr>
            <w:tcW w:w="6480" w:type="dxa"/>
            <w:gridSpan w:val="3"/>
            <w:vAlign w:val="center"/>
          </w:tcPr>
          <w:p w14:paraId="3FA97B98">
            <w:pPr>
              <w:pStyle w:val="90"/>
              <w:rPr>
                <w:rFonts w:ascii="宋体" w:hAnsi="宋体"/>
                <w:szCs w:val="24"/>
              </w:rPr>
            </w:pPr>
            <w:r>
              <w:rPr>
                <w:rFonts w:ascii="宋体" w:hAnsi="宋体"/>
                <w:szCs w:val="24"/>
              </w:rPr>
              <w:t>部  位  (cm)</w:t>
            </w:r>
          </w:p>
        </w:tc>
        <w:tc>
          <w:tcPr>
            <w:tcW w:w="1440" w:type="dxa"/>
            <w:vAlign w:val="center"/>
          </w:tcPr>
          <w:p w14:paraId="693900C4">
            <w:pPr>
              <w:pStyle w:val="90"/>
              <w:rPr>
                <w:rFonts w:ascii="宋体" w:hAnsi="宋体"/>
                <w:szCs w:val="24"/>
              </w:rPr>
            </w:pPr>
            <w:r>
              <w:rPr>
                <w:rFonts w:ascii="宋体" w:hAnsi="宋体"/>
                <w:szCs w:val="24"/>
              </w:rPr>
              <w:t>填 料</w:t>
            </w:r>
          </w:p>
        </w:tc>
        <w:tc>
          <w:tcPr>
            <w:tcW w:w="1800" w:type="dxa"/>
            <w:vAlign w:val="center"/>
          </w:tcPr>
          <w:p w14:paraId="0AA26F68">
            <w:pPr>
              <w:pStyle w:val="90"/>
              <w:rPr>
                <w:rFonts w:ascii="宋体" w:hAnsi="宋体"/>
                <w:szCs w:val="24"/>
              </w:rPr>
            </w:pPr>
            <w:r>
              <w:rPr>
                <w:rFonts w:ascii="宋体" w:hAnsi="宋体"/>
                <w:szCs w:val="24"/>
              </w:rPr>
              <w:t>压实度（％）</w:t>
            </w:r>
          </w:p>
        </w:tc>
      </w:tr>
      <w:tr w14:paraId="0EC84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restart"/>
            <w:vAlign w:val="center"/>
          </w:tcPr>
          <w:p w14:paraId="78D57F9D">
            <w:pPr>
              <w:pStyle w:val="90"/>
              <w:rPr>
                <w:rFonts w:ascii="宋体" w:hAnsi="宋体"/>
                <w:szCs w:val="24"/>
              </w:rPr>
            </w:pPr>
            <w:r>
              <w:rPr>
                <w:rFonts w:ascii="宋体" w:hAnsi="宋体"/>
                <w:szCs w:val="24"/>
              </w:rPr>
              <w:t>胸  腔</w:t>
            </w:r>
          </w:p>
        </w:tc>
        <w:tc>
          <w:tcPr>
            <w:tcW w:w="4860" w:type="dxa"/>
            <w:gridSpan w:val="2"/>
            <w:vAlign w:val="center"/>
          </w:tcPr>
          <w:p w14:paraId="3A0C1682">
            <w:pPr>
              <w:pStyle w:val="90"/>
              <w:rPr>
                <w:rFonts w:ascii="宋体" w:hAnsi="宋体"/>
                <w:szCs w:val="24"/>
              </w:rPr>
            </w:pPr>
            <w:r>
              <w:rPr>
                <w:rFonts w:ascii="宋体" w:hAnsi="宋体"/>
                <w:szCs w:val="24"/>
              </w:rPr>
              <w:t>距路槽底面≤80</w:t>
            </w:r>
          </w:p>
        </w:tc>
        <w:tc>
          <w:tcPr>
            <w:tcW w:w="1440" w:type="dxa"/>
            <w:vAlign w:val="center"/>
          </w:tcPr>
          <w:p w14:paraId="2ECA23BE">
            <w:pPr>
              <w:pStyle w:val="90"/>
              <w:rPr>
                <w:rFonts w:ascii="宋体" w:hAnsi="宋体"/>
                <w:szCs w:val="24"/>
              </w:rPr>
            </w:pPr>
            <w:r>
              <w:rPr>
                <w:rFonts w:ascii="宋体" w:hAnsi="宋体"/>
                <w:szCs w:val="24"/>
              </w:rPr>
              <w:t>砂 砾</w:t>
            </w:r>
          </w:p>
        </w:tc>
        <w:tc>
          <w:tcPr>
            <w:tcW w:w="1800" w:type="dxa"/>
            <w:vAlign w:val="center"/>
          </w:tcPr>
          <w:p w14:paraId="4D274267">
            <w:pPr>
              <w:pStyle w:val="90"/>
              <w:rPr>
                <w:rFonts w:ascii="宋体" w:hAnsi="宋体"/>
                <w:szCs w:val="24"/>
              </w:rPr>
            </w:pPr>
            <w:r>
              <w:rPr>
                <w:rFonts w:ascii="宋体" w:hAnsi="宋体"/>
                <w:szCs w:val="24"/>
              </w:rPr>
              <w:t>≥95</w:t>
            </w:r>
          </w:p>
        </w:tc>
      </w:tr>
      <w:tr w14:paraId="78236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continue"/>
            <w:vAlign w:val="center"/>
          </w:tcPr>
          <w:p w14:paraId="24FE96E9">
            <w:pPr>
              <w:pStyle w:val="90"/>
              <w:rPr>
                <w:rFonts w:ascii="宋体" w:hAnsi="宋体"/>
                <w:szCs w:val="24"/>
              </w:rPr>
            </w:pPr>
          </w:p>
        </w:tc>
        <w:tc>
          <w:tcPr>
            <w:tcW w:w="4860" w:type="dxa"/>
            <w:gridSpan w:val="2"/>
            <w:vAlign w:val="center"/>
          </w:tcPr>
          <w:p w14:paraId="5FF0030E">
            <w:pPr>
              <w:pStyle w:val="90"/>
              <w:rPr>
                <w:rFonts w:ascii="宋体" w:hAnsi="宋体"/>
                <w:szCs w:val="24"/>
              </w:rPr>
            </w:pPr>
            <w:r>
              <w:rPr>
                <w:rFonts w:ascii="宋体" w:hAnsi="宋体"/>
                <w:szCs w:val="24"/>
              </w:rPr>
              <w:t>距路槽底面＞80</w:t>
            </w:r>
          </w:p>
        </w:tc>
        <w:tc>
          <w:tcPr>
            <w:tcW w:w="1440" w:type="dxa"/>
            <w:vAlign w:val="center"/>
          </w:tcPr>
          <w:p w14:paraId="647CDBEC">
            <w:pPr>
              <w:pStyle w:val="90"/>
              <w:rPr>
                <w:rFonts w:ascii="宋体" w:hAnsi="宋体"/>
                <w:szCs w:val="24"/>
              </w:rPr>
            </w:pPr>
            <w:r>
              <w:rPr>
                <w:rFonts w:ascii="宋体" w:hAnsi="宋体"/>
                <w:szCs w:val="24"/>
              </w:rPr>
              <w:t>素 土</w:t>
            </w:r>
          </w:p>
        </w:tc>
        <w:tc>
          <w:tcPr>
            <w:tcW w:w="1800" w:type="dxa"/>
            <w:vAlign w:val="center"/>
          </w:tcPr>
          <w:p w14:paraId="4895788C">
            <w:pPr>
              <w:pStyle w:val="90"/>
              <w:rPr>
                <w:rFonts w:ascii="宋体" w:hAnsi="宋体"/>
                <w:szCs w:val="24"/>
              </w:rPr>
            </w:pPr>
            <w:r>
              <w:rPr>
                <w:rFonts w:ascii="宋体" w:hAnsi="宋体"/>
                <w:szCs w:val="24"/>
              </w:rPr>
              <w:t>≥93</w:t>
            </w:r>
          </w:p>
        </w:tc>
      </w:tr>
      <w:tr w14:paraId="2E98D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restart"/>
            <w:vAlign w:val="center"/>
          </w:tcPr>
          <w:p w14:paraId="6DCF4DE5">
            <w:pPr>
              <w:pStyle w:val="90"/>
              <w:rPr>
                <w:rFonts w:ascii="宋体" w:hAnsi="宋体"/>
                <w:szCs w:val="24"/>
              </w:rPr>
            </w:pPr>
            <w:r>
              <w:rPr>
                <w:rFonts w:ascii="宋体" w:hAnsi="宋体"/>
                <w:szCs w:val="24"/>
              </w:rPr>
              <w:t>管顶以上至</w:t>
            </w:r>
          </w:p>
          <w:p w14:paraId="33F76507">
            <w:pPr>
              <w:pStyle w:val="90"/>
              <w:rPr>
                <w:rFonts w:ascii="宋体" w:hAnsi="宋体"/>
                <w:szCs w:val="24"/>
              </w:rPr>
            </w:pPr>
            <w:r>
              <w:rPr>
                <w:rFonts w:ascii="宋体" w:hAnsi="宋体"/>
                <w:szCs w:val="24"/>
              </w:rPr>
              <w:t>路槽底面</w:t>
            </w:r>
          </w:p>
        </w:tc>
        <w:tc>
          <w:tcPr>
            <w:tcW w:w="2081" w:type="dxa"/>
            <w:vMerge w:val="restart"/>
            <w:vAlign w:val="center"/>
          </w:tcPr>
          <w:p w14:paraId="7C81DA66">
            <w:pPr>
              <w:pStyle w:val="90"/>
              <w:rPr>
                <w:rFonts w:ascii="宋体" w:hAnsi="宋体"/>
                <w:szCs w:val="24"/>
              </w:rPr>
            </w:pPr>
            <w:r>
              <w:rPr>
                <w:rFonts w:ascii="宋体" w:hAnsi="宋体"/>
                <w:szCs w:val="24"/>
              </w:rPr>
              <w:t>管顶距路槽底面≤80</w:t>
            </w:r>
          </w:p>
        </w:tc>
        <w:tc>
          <w:tcPr>
            <w:tcW w:w="2779" w:type="dxa"/>
            <w:vAlign w:val="center"/>
          </w:tcPr>
          <w:p w14:paraId="24291CA4">
            <w:pPr>
              <w:pStyle w:val="90"/>
              <w:rPr>
                <w:rFonts w:ascii="宋体" w:hAnsi="宋体"/>
                <w:szCs w:val="24"/>
              </w:rPr>
            </w:pPr>
            <w:r>
              <w:rPr>
                <w:rFonts w:ascii="宋体" w:hAnsi="宋体"/>
                <w:szCs w:val="24"/>
              </w:rPr>
              <w:t>管顶以上0～30</w:t>
            </w:r>
          </w:p>
        </w:tc>
        <w:tc>
          <w:tcPr>
            <w:tcW w:w="1440" w:type="dxa"/>
            <w:vAlign w:val="center"/>
          </w:tcPr>
          <w:p w14:paraId="4D1F3161">
            <w:pPr>
              <w:pStyle w:val="90"/>
              <w:rPr>
                <w:rFonts w:ascii="宋体" w:hAnsi="宋体"/>
                <w:szCs w:val="24"/>
              </w:rPr>
            </w:pPr>
            <w:r>
              <w:rPr>
                <w:rFonts w:ascii="宋体" w:hAnsi="宋体"/>
                <w:szCs w:val="24"/>
              </w:rPr>
              <w:t>砂 砾</w:t>
            </w:r>
          </w:p>
        </w:tc>
        <w:tc>
          <w:tcPr>
            <w:tcW w:w="1800" w:type="dxa"/>
            <w:vAlign w:val="center"/>
          </w:tcPr>
          <w:p w14:paraId="70ADE57E">
            <w:pPr>
              <w:pStyle w:val="90"/>
              <w:rPr>
                <w:rFonts w:ascii="宋体" w:hAnsi="宋体"/>
                <w:szCs w:val="24"/>
              </w:rPr>
            </w:pPr>
            <w:r>
              <w:rPr>
                <w:rFonts w:ascii="宋体" w:hAnsi="宋体"/>
                <w:szCs w:val="24"/>
              </w:rPr>
              <w:t>≥88</w:t>
            </w:r>
          </w:p>
        </w:tc>
      </w:tr>
      <w:tr w14:paraId="7E60B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continue"/>
            <w:vAlign w:val="center"/>
          </w:tcPr>
          <w:p w14:paraId="1F32FAD3">
            <w:pPr>
              <w:pStyle w:val="90"/>
              <w:rPr>
                <w:rFonts w:ascii="宋体" w:hAnsi="宋体"/>
                <w:szCs w:val="24"/>
              </w:rPr>
            </w:pPr>
          </w:p>
        </w:tc>
        <w:tc>
          <w:tcPr>
            <w:tcW w:w="2081" w:type="dxa"/>
            <w:vMerge w:val="continue"/>
            <w:vAlign w:val="center"/>
          </w:tcPr>
          <w:p w14:paraId="4F630A6D">
            <w:pPr>
              <w:pStyle w:val="90"/>
              <w:rPr>
                <w:rFonts w:ascii="宋体" w:hAnsi="宋体"/>
                <w:szCs w:val="24"/>
              </w:rPr>
            </w:pPr>
          </w:p>
        </w:tc>
        <w:tc>
          <w:tcPr>
            <w:tcW w:w="2779" w:type="dxa"/>
            <w:vAlign w:val="center"/>
          </w:tcPr>
          <w:p w14:paraId="6FBC39C0">
            <w:pPr>
              <w:pStyle w:val="90"/>
              <w:rPr>
                <w:rFonts w:ascii="宋体" w:hAnsi="宋体"/>
                <w:szCs w:val="24"/>
              </w:rPr>
            </w:pPr>
            <w:r>
              <w:rPr>
                <w:rFonts w:ascii="宋体" w:hAnsi="宋体"/>
                <w:szCs w:val="24"/>
              </w:rPr>
              <w:t>管顶30以上</w:t>
            </w:r>
          </w:p>
        </w:tc>
        <w:tc>
          <w:tcPr>
            <w:tcW w:w="1440" w:type="dxa"/>
            <w:vAlign w:val="center"/>
          </w:tcPr>
          <w:p w14:paraId="0B5F0D00">
            <w:pPr>
              <w:pStyle w:val="90"/>
              <w:rPr>
                <w:rFonts w:ascii="宋体" w:hAnsi="宋体"/>
                <w:szCs w:val="24"/>
              </w:rPr>
            </w:pPr>
            <w:r>
              <w:rPr>
                <w:rFonts w:ascii="宋体" w:hAnsi="宋体"/>
                <w:szCs w:val="24"/>
              </w:rPr>
              <w:t>砂 砾</w:t>
            </w:r>
          </w:p>
        </w:tc>
        <w:tc>
          <w:tcPr>
            <w:tcW w:w="1800" w:type="dxa"/>
            <w:vAlign w:val="center"/>
          </w:tcPr>
          <w:p w14:paraId="76FDDA0B">
            <w:pPr>
              <w:pStyle w:val="90"/>
              <w:rPr>
                <w:rFonts w:ascii="宋体" w:hAnsi="宋体"/>
                <w:szCs w:val="24"/>
              </w:rPr>
            </w:pPr>
            <w:r>
              <w:rPr>
                <w:rFonts w:ascii="宋体" w:hAnsi="宋体"/>
                <w:szCs w:val="24"/>
              </w:rPr>
              <w:t>≥95</w:t>
            </w:r>
          </w:p>
        </w:tc>
      </w:tr>
      <w:tr w14:paraId="66BEC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continue"/>
            <w:vAlign w:val="center"/>
          </w:tcPr>
          <w:p w14:paraId="52CC4BD0">
            <w:pPr>
              <w:pStyle w:val="90"/>
              <w:rPr>
                <w:rFonts w:ascii="宋体" w:hAnsi="宋体"/>
                <w:szCs w:val="24"/>
              </w:rPr>
            </w:pPr>
          </w:p>
        </w:tc>
        <w:tc>
          <w:tcPr>
            <w:tcW w:w="2081" w:type="dxa"/>
            <w:vMerge w:val="restart"/>
            <w:vAlign w:val="center"/>
          </w:tcPr>
          <w:p w14:paraId="47875427">
            <w:pPr>
              <w:pStyle w:val="90"/>
              <w:rPr>
                <w:rFonts w:ascii="宋体" w:hAnsi="宋体"/>
                <w:szCs w:val="24"/>
              </w:rPr>
            </w:pPr>
            <w:r>
              <w:rPr>
                <w:rFonts w:ascii="宋体" w:hAnsi="宋体"/>
                <w:szCs w:val="24"/>
              </w:rPr>
              <w:t>管顶距路槽底面＞80</w:t>
            </w:r>
          </w:p>
        </w:tc>
        <w:tc>
          <w:tcPr>
            <w:tcW w:w="2779" w:type="dxa"/>
            <w:vAlign w:val="center"/>
          </w:tcPr>
          <w:p w14:paraId="0B7C7D6E">
            <w:pPr>
              <w:pStyle w:val="90"/>
              <w:rPr>
                <w:rFonts w:ascii="宋体" w:hAnsi="宋体"/>
                <w:szCs w:val="24"/>
              </w:rPr>
            </w:pPr>
            <w:r>
              <w:rPr>
                <w:rFonts w:ascii="宋体" w:hAnsi="宋体"/>
                <w:szCs w:val="24"/>
              </w:rPr>
              <w:t>路槽底面以下0～80</w:t>
            </w:r>
          </w:p>
        </w:tc>
        <w:tc>
          <w:tcPr>
            <w:tcW w:w="1440" w:type="dxa"/>
            <w:vAlign w:val="center"/>
          </w:tcPr>
          <w:p w14:paraId="2FFBE3CD">
            <w:pPr>
              <w:pStyle w:val="90"/>
              <w:rPr>
                <w:rFonts w:ascii="宋体" w:hAnsi="宋体"/>
                <w:szCs w:val="24"/>
              </w:rPr>
            </w:pPr>
            <w:r>
              <w:rPr>
                <w:rFonts w:ascii="宋体" w:hAnsi="宋体"/>
                <w:szCs w:val="24"/>
              </w:rPr>
              <w:t>素 土</w:t>
            </w:r>
          </w:p>
        </w:tc>
        <w:tc>
          <w:tcPr>
            <w:tcW w:w="1800" w:type="dxa"/>
            <w:vAlign w:val="center"/>
          </w:tcPr>
          <w:p w14:paraId="24A34EDC">
            <w:pPr>
              <w:pStyle w:val="90"/>
              <w:rPr>
                <w:rFonts w:ascii="宋体" w:hAnsi="宋体"/>
                <w:szCs w:val="24"/>
              </w:rPr>
            </w:pPr>
            <w:r>
              <w:rPr>
                <w:rFonts w:ascii="宋体" w:hAnsi="宋体"/>
                <w:szCs w:val="24"/>
              </w:rPr>
              <w:t>≥95</w:t>
            </w:r>
          </w:p>
        </w:tc>
      </w:tr>
      <w:tr w14:paraId="7D1BA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continue"/>
            <w:vAlign w:val="center"/>
          </w:tcPr>
          <w:p w14:paraId="5EA4BF0D">
            <w:pPr>
              <w:pStyle w:val="90"/>
              <w:rPr>
                <w:rFonts w:ascii="宋体" w:hAnsi="宋体"/>
                <w:szCs w:val="24"/>
              </w:rPr>
            </w:pPr>
          </w:p>
        </w:tc>
        <w:tc>
          <w:tcPr>
            <w:tcW w:w="2081" w:type="dxa"/>
            <w:vMerge w:val="continue"/>
            <w:vAlign w:val="center"/>
          </w:tcPr>
          <w:p w14:paraId="7576D12A">
            <w:pPr>
              <w:pStyle w:val="90"/>
              <w:rPr>
                <w:rFonts w:ascii="宋体" w:hAnsi="宋体"/>
                <w:szCs w:val="24"/>
              </w:rPr>
            </w:pPr>
          </w:p>
        </w:tc>
        <w:tc>
          <w:tcPr>
            <w:tcW w:w="2779" w:type="dxa"/>
            <w:vAlign w:val="center"/>
          </w:tcPr>
          <w:p w14:paraId="347D138A">
            <w:pPr>
              <w:pStyle w:val="90"/>
              <w:rPr>
                <w:rFonts w:ascii="宋体" w:hAnsi="宋体"/>
                <w:szCs w:val="24"/>
              </w:rPr>
            </w:pPr>
            <w:r>
              <w:rPr>
                <w:rFonts w:ascii="宋体" w:hAnsi="宋体"/>
                <w:szCs w:val="24"/>
              </w:rPr>
              <w:t>路槽底面80以下</w:t>
            </w:r>
          </w:p>
        </w:tc>
        <w:tc>
          <w:tcPr>
            <w:tcW w:w="1440" w:type="dxa"/>
            <w:vAlign w:val="center"/>
          </w:tcPr>
          <w:p w14:paraId="0FED938B">
            <w:pPr>
              <w:pStyle w:val="90"/>
              <w:rPr>
                <w:rFonts w:ascii="宋体" w:hAnsi="宋体"/>
                <w:szCs w:val="24"/>
              </w:rPr>
            </w:pPr>
            <w:r>
              <w:rPr>
                <w:rFonts w:ascii="宋体" w:hAnsi="宋体"/>
                <w:szCs w:val="24"/>
              </w:rPr>
              <w:t>素 土</w:t>
            </w:r>
          </w:p>
        </w:tc>
        <w:tc>
          <w:tcPr>
            <w:tcW w:w="1800" w:type="dxa"/>
            <w:vAlign w:val="center"/>
          </w:tcPr>
          <w:p w14:paraId="765C9DB0">
            <w:pPr>
              <w:pStyle w:val="90"/>
              <w:rPr>
                <w:rFonts w:ascii="宋体" w:hAnsi="宋体"/>
                <w:szCs w:val="24"/>
              </w:rPr>
            </w:pPr>
            <w:r>
              <w:rPr>
                <w:rFonts w:ascii="宋体" w:hAnsi="宋体"/>
                <w:szCs w:val="24"/>
              </w:rPr>
              <w:t>≥93</w:t>
            </w:r>
          </w:p>
        </w:tc>
      </w:tr>
      <w:tr w14:paraId="3C751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restart"/>
            <w:vAlign w:val="center"/>
          </w:tcPr>
          <w:p w14:paraId="45A9CF1F">
            <w:pPr>
              <w:pStyle w:val="90"/>
              <w:rPr>
                <w:rFonts w:ascii="宋体" w:hAnsi="宋体"/>
                <w:szCs w:val="24"/>
              </w:rPr>
            </w:pPr>
            <w:r>
              <w:rPr>
                <w:rFonts w:ascii="宋体" w:hAnsi="宋体"/>
                <w:szCs w:val="24"/>
              </w:rPr>
              <w:t>检查井和雨水口周围</w:t>
            </w:r>
          </w:p>
        </w:tc>
        <w:tc>
          <w:tcPr>
            <w:tcW w:w="4860" w:type="dxa"/>
            <w:gridSpan w:val="2"/>
            <w:vAlign w:val="center"/>
          </w:tcPr>
          <w:p w14:paraId="36A61B0A">
            <w:pPr>
              <w:pStyle w:val="90"/>
              <w:rPr>
                <w:rFonts w:ascii="宋体" w:hAnsi="宋体"/>
                <w:szCs w:val="24"/>
              </w:rPr>
            </w:pPr>
            <w:r>
              <w:rPr>
                <w:rFonts w:ascii="宋体" w:hAnsi="宋体"/>
                <w:szCs w:val="24"/>
              </w:rPr>
              <w:t>路槽底面以下0～80</w:t>
            </w:r>
          </w:p>
        </w:tc>
        <w:tc>
          <w:tcPr>
            <w:tcW w:w="1440" w:type="dxa"/>
            <w:vAlign w:val="center"/>
          </w:tcPr>
          <w:p w14:paraId="14F442E5">
            <w:pPr>
              <w:pStyle w:val="90"/>
              <w:rPr>
                <w:rFonts w:ascii="宋体" w:hAnsi="宋体"/>
                <w:szCs w:val="24"/>
              </w:rPr>
            </w:pPr>
            <w:r>
              <w:rPr>
                <w:rFonts w:ascii="宋体" w:hAnsi="宋体"/>
                <w:szCs w:val="24"/>
              </w:rPr>
              <w:t>砂 砾</w:t>
            </w:r>
          </w:p>
        </w:tc>
        <w:tc>
          <w:tcPr>
            <w:tcW w:w="1800" w:type="dxa"/>
            <w:vAlign w:val="center"/>
          </w:tcPr>
          <w:p w14:paraId="038DF6FD">
            <w:pPr>
              <w:pStyle w:val="90"/>
              <w:rPr>
                <w:rFonts w:ascii="宋体" w:hAnsi="宋体"/>
                <w:szCs w:val="24"/>
              </w:rPr>
            </w:pPr>
            <w:r>
              <w:rPr>
                <w:rFonts w:ascii="宋体" w:hAnsi="宋体"/>
                <w:szCs w:val="24"/>
              </w:rPr>
              <w:t>≥95</w:t>
            </w:r>
          </w:p>
        </w:tc>
      </w:tr>
      <w:tr w14:paraId="024FD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1620" w:type="dxa"/>
            <w:vMerge w:val="continue"/>
            <w:vAlign w:val="center"/>
          </w:tcPr>
          <w:p w14:paraId="3265FD9C">
            <w:pPr>
              <w:pStyle w:val="90"/>
              <w:rPr>
                <w:rFonts w:ascii="宋体" w:hAnsi="宋体"/>
                <w:szCs w:val="24"/>
              </w:rPr>
            </w:pPr>
          </w:p>
        </w:tc>
        <w:tc>
          <w:tcPr>
            <w:tcW w:w="4860" w:type="dxa"/>
            <w:gridSpan w:val="2"/>
            <w:vAlign w:val="center"/>
          </w:tcPr>
          <w:p w14:paraId="7C30949E">
            <w:pPr>
              <w:pStyle w:val="90"/>
              <w:rPr>
                <w:rFonts w:ascii="宋体" w:hAnsi="宋体"/>
                <w:szCs w:val="24"/>
              </w:rPr>
            </w:pPr>
            <w:r>
              <w:rPr>
                <w:rFonts w:ascii="宋体" w:hAnsi="宋体"/>
                <w:szCs w:val="24"/>
              </w:rPr>
              <w:t>路槽底面80以下</w:t>
            </w:r>
          </w:p>
        </w:tc>
        <w:tc>
          <w:tcPr>
            <w:tcW w:w="1440" w:type="dxa"/>
            <w:vAlign w:val="center"/>
          </w:tcPr>
          <w:p w14:paraId="0A507E5D">
            <w:pPr>
              <w:pStyle w:val="90"/>
              <w:rPr>
                <w:rFonts w:ascii="宋体" w:hAnsi="宋体"/>
                <w:szCs w:val="24"/>
              </w:rPr>
            </w:pPr>
            <w:r>
              <w:rPr>
                <w:rFonts w:ascii="宋体" w:hAnsi="宋体"/>
                <w:szCs w:val="24"/>
              </w:rPr>
              <w:t>砂 砾</w:t>
            </w:r>
          </w:p>
        </w:tc>
        <w:tc>
          <w:tcPr>
            <w:tcW w:w="1800" w:type="dxa"/>
            <w:vAlign w:val="center"/>
          </w:tcPr>
          <w:p w14:paraId="2D9F32A1">
            <w:pPr>
              <w:pStyle w:val="90"/>
              <w:rPr>
                <w:rFonts w:ascii="宋体" w:hAnsi="宋体"/>
                <w:szCs w:val="24"/>
              </w:rPr>
            </w:pPr>
            <w:r>
              <w:rPr>
                <w:rFonts w:ascii="宋体" w:hAnsi="宋体"/>
                <w:szCs w:val="24"/>
              </w:rPr>
              <w:t>≥93</w:t>
            </w:r>
          </w:p>
        </w:tc>
      </w:tr>
    </w:tbl>
    <w:p w14:paraId="2D6A129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注：路基应分层填筑、均匀压实，路基压实采用重型击实标准，当路堤底部为松散填土时，路堤填筑前也应翻挖后再回填分层压实，压实度不低于85％。填土高度小于路床厚度时，基底的压实度不应小于路床标准。路床填料及压实标准应严格按要求执行，以确保土路基顶面回弹模量不小于30Mpa。</w:t>
      </w:r>
    </w:p>
    <w:p w14:paraId="6342F6A2">
      <w:pPr>
        <w:pStyle w:val="7"/>
        <w:spacing w:beforeLines="0"/>
        <w:rPr>
          <w:rFonts w:hint="eastAsia" w:ascii="宋体" w:hAnsi="宋体" w:eastAsia="宋体"/>
          <w:color w:val="auto"/>
          <w:szCs w:val="24"/>
        </w:rPr>
      </w:pPr>
      <w:r>
        <w:rPr>
          <w:rFonts w:hint="eastAsia" w:ascii="Times New Roman"/>
          <w:color w:val="auto"/>
          <w:lang w:val="en-US" w:eastAsia="zh-CN"/>
        </w:rPr>
        <w:t>3</w:t>
      </w:r>
      <w:r>
        <w:rPr>
          <w:rFonts w:ascii="Times New Roman"/>
          <w:color w:val="auto"/>
        </w:rPr>
        <w:t>.6.</w:t>
      </w:r>
      <w:r>
        <w:rPr>
          <w:rFonts w:hint="eastAsia" w:ascii="Times New Roman"/>
          <w:color w:val="auto"/>
        </w:rPr>
        <w:t>2</w:t>
      </w:r>
      <w:r>
        <w:rPr>
          <w:rFonts w:hint="eastAsia" w:ascii="宋体" w:hAnsi="宋体" w:eastAsia="宋体"/>
          <w:color w:val="auto"/>
          <w:szCs w:val="24"/>
        </w:rPr>
        <w:t>路基防护</w:t>
      </w:r>
    </w:p>
    <w:p w14:paraId="602EC7A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为防止雨水对路堤边坡或路堑边坡的冲刷，需对边坡进行防护。填方边坡坡度1:1.5，挖方边坡坡度1:1。</w:t>
      </w:r>
    </w:p>
    <w:p w14:paraId="42C11589">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 xml:space="preserve">填方路基：填方高度H≤6米，采用植草防护； </w:t>
      </w:r>
    </w:p>
    <w:p w14:paraId="38CEFD1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挖方路段：挖高小于6米的采用喷播草进行边坡防护，边坡坡度1:1。</w:t>
      </w:r>
    </w:p>
    <w:p w14:paraId="1D4C6D7F">
      <w:pPr>
        <w:pStyle w:val="6"/>
        <w:spacing w:beforeLines="0"/>
        <w:rPr>
          <w:rFonts w:asciiTheme="minorEastAsia" w:hAnsiTheme="minorEastAsia" w:eastAsiaTheme="minorEastAsia"/>
        </w:rPr>
      </w:pPr>
      <w:bookmarkStart w:id="19" w:name="_Toc134264248"/>
      <w:bookmarkStart w:id="20" w:name="_Toc134264486"/>
      <w:r>
        <w:rPr>
          <w:rFonts w:hint="eastAsia" w:asciiTheme="minorEastAsia" w:hAnsiTheme="minorEastAsia" w:eastAsiaTheme="minorEastAsia"/>
          <w:lang w:val="en-US" w:eastAsia="zh-CN"/>
        </w:rPr>
        <w:t>3</w:t>
      </w:r>
      <w:r>
        <w:rPr>
          <w:rFonts w:asciiTheme="minorEastAsia" w:hAnsiTheme="minorEastAsia" w:eastAsiaTheme="minorEastAsia"/>
        </w:rPr>
        <w:t>.7</w:t>
      </w:r>
      <w:r>
        <w:rPr>
          <w:rFonts w:hint="eastAsia" w:asciiTheme="minorEastAsia" w:hAnsiTheme="minorEastAsia" w:eastAsiaTheme="minorEastAsia"/>
        </w:rPr>
        <w:t xml:space="preserve"> 道路路面结构设计</w:t>
      </w:r>
      <w:bookmarkEnd w:id="19"/>
      <w:bookmarkEnd w:id="20"/>
    </w:p>
    <w:p w14:paraId="25C56DA7">
      <w:pPr>
        <w:pStyle w:val="7"/>
        <w:spacing w:beforeLines="0"/>
        <w:rPr>
          <w:rFonts w:ascii="Times New Roman"/>
          <w:color w:val="auto"/>
        </w:rPr>
      </w:pPr>
      <w:bookmarkStart w:id="21" w:name="_Toc134264249"/>
      <w:r>
        <w:rPr>
          <w:rFonts w:hint="eastAsia" w:ascii="Times New Roman"/>
          <w:color w:val="auto"/>
          <w:lang w:val="en-US" w:eastAsia="zh-CN"/>
        </w:rPr>
        <w:t>3</w:t>
      </w:r>
      <w:r>
        <w:rPr>
          <w:rFonts w:ascii="Times New Roman"/>
          <w:color w:val="auto"/>
        </w:rPr>
        <w:t>.7</w:t>
      </w:r>
      <w:r>
        <w:rPr>
          <w:rFonts w:hint="eastAsia" w:ascii="Times New Roman"/>
          <w:color w:val="auto"/>
        </w:rPr>
        <w:t>.1行车道路面结构</w:t>
      </w:r>
      <w:bookmarkEnd w:id="21"/>
    </w:p>
    <w:p w14:paraId="1A2415E6">
      <w:pPr>
        <w:snapToGrid w:val="0"/>
        <w:spacing w:line="360" w:lineRule="auto"/>
        <w:ind w:firstLine="475" w:firstLineChars="197"/>
        <w:rPr>
          <w:rFonts w:asciiTheme="minorEastAsia" w:hAnsiTheme="minorEastAsia"/>
          <w:b/>
          <w:sz w:val="24"/>
        </w:rPr>
      </w:pPr>
      <w:bookmarkStart w:id="22" w:name="_Toc312612601"/>
      <w:bookmarkStart w:id="23" w:name="OLE_LINK33"/>
      <w:r>
        <w:rPr>
          <w:rFonts w:hint="eastAsia" w:asciiTheme="minorEastAsia" w:hAnsiTheme="minorEastAsia"/>
          <w:b/>
          <w:sz w:val="24"/>
          <w:lang w:val="en-US" w:eastAsia="zh-CN"/>
        </w:rPr>
        <w:t>1</w:t>
      </w:r>
      <w:r>
        <w:rPr>
          <w:rFonts w:hint="eastAsia" w:asciiTheme="minorEastAsia" w:hAnsiTheme="minorEastAsia"/>
          <w:b/>
          <w:sz w:val="24"/>
        </w:rPr>
        <w:t>、土路硬化路面结构</w:t>
      </w:r>
    </w:p>
    <w:p w14:paraId="64DE54BB">
      <w:pPr>
        <w:tabs>
          <w:tab w:val="left" w:pos="765"/>
        </w:tabs>
        <w:spacing w:line="360" w:lineRule="auto"/>
        <w:ind w:firstLine="484" w:firstLineChars="202"/>
        <w:rPr>
          <w:rFonts w:asciiTheme="minorEastAsia" w:hAnsiTheme="minorEastAsia"/>
          <w:sz w:val="24"/>
        </w:rPr>
      </w:pPr>
      <w:r>
        <w:rPr>
          <w:rFonts w:hint="eastAsia" w:asciiTheme="minorEastAsia" w:hAnsiTheme="minorEastAsia"/>
          <w:sz w:val="24"/>
        </w:rPr>
        <w:t>项目所在区域位于增城区</w:t>
      </w:r>
      <w:r>
        <w:rPr>
          <w:rFonts w:hint="eastAsia" w:asciiTheme="minorEastAsia" w:hAnsiTheme="minorEastAsia"/>
          <w:sz w:val="24"/>
          <w:lang w:eastAsia="zh-CN"/>
        </w:rPr>
        <w:t>中新镇慈岭村</w:t>
      </w:r>
      <w:r>
        <w:rPr>
          <w:rFonts w:hint="eastAsia" w:asciiTheme="minorEastAsia" w:hAnsiTheme="minorEastAsia"/>
          <w:sz w:val="24"/>
        </w:rPr>
        <w:t>，结合以往增城地区路面设计经验，本项目土路硬化采用水泥混凝土路面结构，具体如下：</w:t>
      </w:r>
    </w:p>
    <w:p w14:paraId="06707EE7">
      <w:pPr>
        <w:tabs>
          <w:tab w:val="left" w:pos="765"/>
        </w:tabs>
        <w:spacing w:line="360" w:lineRule="auto"/>
        <w:ind w:firstLine="484" w:firstLineChars="202"/>
        <w:rPr>
          <w:rFonts w:asciiTheme="minorEastAsia" w:hAnsiTheme="minorEastAsia"/>
          <w:sz w:val="24"/>
        </w:rPr>
      </w:pPr>
      <w:r>
        <w:rPr>
          <w:rFonts w:hint="eastAsia" w:asciiTheme="minorEastAsia" w:hAnsiTheme="minorEastAsia"/>
          <w:sz w:val="24"/>
        </w:rPr>
        <w:t>面层：20cmC3</w:t>
      </w:r>
      <w:r>
        <w:rPr>
          <w:rFonts w:hint="eastAsia" w:asciiTheme="minorEastAsia" w:hAnsiTheme="minorEastAsia"/>
          <w:sz w:val="24"/>
          <w:lang w:val="en-US" w:eastAsia="zh-CN"/>
        </w:rPr>
        <w:t>0</w:t>
      </w:r>
      <w:bookmarkStart w:id="54" w:name="_GoBack"/>
      <w:bookmarkEnd w:id="54"/>
      <w:r>
        <w:rPr>
          <w:rFonts w:hint="eastAsia" w:asciiTheme="minorEastAsia" w:hAnsiTheme="minorEastAsia"/>
          <w:sz w:val="24"/>
        </w:rPr>
        <w:t>水泥混凝土路面（抗弯拉强度为</w:t>
      </w:r>
      <w:r>
        <w:rPr>
          <w:rFonts w:asciiTheme="minorEastAsia" w:hAnsiTheme="minorEastAsia"/>
          <w:sz w:val="24"/>
        </w:rPr>
        <w:t>4.5MPa,</w:t>
      </w:r>
      <w:r>
        <w:rPr>
          <w:rFonts w:hint="eastAsia" w:asciiTheme="minorEastAsia" w:hAnsiTheme="minorEastAsia"/>
          <w:sz w:val="24"/>
        </w:rPr>
        <w:t>弯拉弹性模量值</w:t>
      </w:r>
      <w:r>
        <w:rPr>
          <w:rFonts w:asciiTheme="minorEastAsia" w:hAnsiTheme="minorEastAsia"/>
          <w:sz w:val="24"/>
        </w:rPr>
        <w:t>29GPa</w:t>
      </w:r>
      <w:r>
        <w:rPr>
          <w:rFonts w:hint="eastAsia" w:asciiTheme="minorEastAsia" w:hAnsiTheme="minorEastAsia"/>
          <w:sz w:val="24"/>
        </w:rPr>
        <w:t>）</w:t>
      </w:r>
    </w:p>
    <w:p w14:paraId="639A7313">
      <w:pPr>
        <w:tabs>
          <w:tab w:val="left" w:pos="765"/>
        </w:tabs>
        <w:spacing w:line="360" w:lineRule="auto"/>
        <w:ind w:firstLine="484" w:firstLineChars="202"/>
        <w:rPr>
          <w:rFonts w:asciiTheme="minorEastAsia" w:hAnsiTheme="minorEastAsia"/>
          <w:sz w:val="24"/>
        </w:rPr>
      </w:pPr>
      <w:r>
        <w:rPr>
          <w:rFonts w:hint="eastAsia" w:asciiTheme="minorEastAsia" w:hAnsiTheme="minorEastAsia"/>
          <w:sz w:val="24"/>
        </w:rPr>
        <w:t>基层：</w:t>
      </w:r>
      <w:r>
        <w:rPr>
          <w:rFonts w:hint="eastAsia" w:asciiTheme="minorEastAsia" w:hAnsiTheme="minorEastAsia"/>
          <w:sz w:val="24"/>
          <w:lang w:val="en-US" w:eastAsia="zh-CN"/>
        </w:rPr>
        <w:t>20</w:t>
      </w:r>
      <w:r>
        <w:rPr>
          <w:rFonts w:hint="eastAsia" w:asciiTheme="minorEastAsia" w:hAnsiTheme="minorEastAsia"/>
          <w:sz w:val="24"/>
        </w:rPr>
        <w:t>cm</w:t>
      </w:r>
      <w:r>
        <w:rPr>
          <w:rFonts w:asciiTheme="minorEastAsia" w:hAnsiTheme="minorEastAsia"/>
          <w:sz w:val="24"/>
        </w:rPr>
        <w:t xml:space="preserve"> </w:t>
      </w:r>
      <w:r>
        <w:rPr>
          <w:rFonts w:hint="eastAsia" w:asciiTheme="minorEastAsia" w:hAnsiTheme="minorEastAsia"/>
          <w:sz w:val="24"/>
        </w:rPr>
        <w:t>5%水泥稳定</w:t>
      </w:r>
      <w:r>
        <w:rPr>
          <w:rFonts w:hint="eastAsia" w:asciiTheme="minorEastAsia" w:hAnsiTheme="minorEastAsia"/>
          <w:sz w:val="24"/>
          <w:lang w:val="en-US" w:eastAsia="zh-CN"/>
        </w:rPr>
        <w:t>石屑</w:t>
      </w:r>
      <w:r>
        <w:rPr>
          <w:rFonts w:hint="eastAsia" w:asciiTheme="minorEastAsia" w:hAnsiTheme="minorEastAsia"/>
          <w:sz w:val="24"/>
        </w:rPr>
        <w:t>（</w:t>
      </w:r>
      <w:r>
        <w:rPr>
          <w:rFonts w:asciiTheme="minorEastAsia" w:hAnsiTheme="minorEastAsia"/>
          <w:sz w:val="24"/>
        </w:rPr>
        <w:t>7d</w:t>
      </w:r>
      <w:r>
        <w:rPr>
          <w:rFonts w:hint="eastAsia" w:asciiTheme="minorEastAsia" w:hAnsiTheme="minorEastAsia"/>
          <w:sz w:val="24"/>
        </w:rPr>
        <w:t>龄期无侧限抗压强度为</w:t>
      </w:r>
      <w:r>
        <w:rPr>
          <w:rFonts w:asciiTheme="minorEastAsia" w:hAnsiTheme="minorEastAsia"/>
          <w:sz w:val="24"/>
        </w:rPr>
        <w:t>3.0MPa</w:t>
      </w:r>
      <w:r>
        <w:rPr>
          <w:rFonts w:hint="eastAsia" w:asciiTheme="minorEastAsia" w:hAnsiTheme="minorEastAsia"/>
          <w:sz w:val="24"/>
        </w:rPr>
        <w:t>）</w:t>
      </w:r>
      <w:r>
        <w:rPr>
          <w:rFonts w:hint="eastAsia" w:asciiTheme="minorEastAsia" w:hAnsiTheme="minorEastAsia"/>
          <w:kern w:val="0"/>
          <w:sz w:val="24"/>
          <w:lang w:val="zh-CN" w:eastAsia="zh-CN"/>
        </w:rPr>
        <mc:AlternateContent>
          <mc:Choice Requires="wps">
            <w:drawing>
              <wp:anchor distT="0" distB="0" distL="114300" distR="114300" simplePos="0" relativeHeight="251668480" behindDoc="0" locked="0" layoutInCell="1" allowOverlap="1">
                <wp:simplePos x="0" y="0"/>
                <wp:positionH relativeFrom="column">
                  <wp:posOffset>8546465</wp:posOffset>
                </wp:positionH>
                <wp:positionV relativeFrom="paragraph">
                  <wp:posOffset>1417320</wp:posOffset>
                </wp:positionV>
                <wp:extent cx="648970" cy="485140"/>
                <wp:effectExtent l="0" t="0" r="0" b="0"/>
                <wp:wrapNone/>
                <wp:docPr id="34" name="矩形 34"/>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2D54A022">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111.6pt;height:38.2pt;width:51.1pt;z-index:251668480;v-text-anchor:middle;mso-width-relative:page;mso-height-relative:page;" filled="f" stroked="f" coordsize="21600,21600" o:gfxdata="UEsDBAoAAAAAAIdO4kAAAAAAAAAAAAAAAAAEAAAAZHJzL1BLAwQUAAAACACHTuJAobmrmdoAAAAN&#10;AQAADwAAAGRycy9kb3ducmV2LnhtbE2PwU6DQBCG7ya+w2ZMvNkFik1BlqYxatKjxcR4W9gRUHaW&#10;sFvavr3TUz3+M1/++abYnOwgZpx870hBvIhAIDXO9NQq+KheH9YgfNBk9OAIFZzRw6a8vSl0btyR&#10;3nHeh1ZwCflcK+hCGHMpfdOh1X7hRiTefbvJ6sBxaqWZ9JHL7SCTKFpJq3viC50e8bnD5nd/sAp8&#10;Pe+q87j9/PnyTb19IVuluzel7u/i6AlEwFO4wnDRZ3Uo2al2BzJeDJyX6WPGrIIkWSYgLkiarmMQ&#10;NY+ybAWyLOT/L8o/UEsDBBQAAAAIAIdO4kDv1UmYVAIAAJcEAAAOAAAAZHJzL2Uyb0RvYy54bWyt&#10;VEtu2zAQ3RfoHQjuG9mukjhG5MCI4aJA0ARIi65pirQE8FeStpxepkB3PUSPU/QafaQUx0i7yKIb&#10;aYYzesP3ZkaXV3utyE740FpT0fHJiBJhuK1bs6nop4+rN1NKQmSmZsoaUdEHEejV/PWry87NxMQ2&#10;VtXCE4CYMOtcRZsY3awoAm+EZuHEOmEQlNZrFuH6TVF71gFdq2IyGp0VnfW185aLEHC67IN0QPQv&#10;AbRStlwsLd9qYWKP6oViEZRC07pA5/m2Ugoeb6UMIhJVUTCN+YkisNfpWcwv2WzjmWtaPlyBveQK&#10;zzhp1hoUPUAtWWRk69u/oHTLvQ1WxhNuddETyYqAxXj0TJv7hjmRuUDq4A6ih/8Hyz/s7jxp64q+&#10;LSkxTKPjv7/9+PXzO8EB1OlcmCHp3t35wQswE9W99Dq9QYLss6IPB0XFPhKOw7NyenEOrTlC5fR0&#10;XGbFi6ePnQ/xnbCaJKOiHg3LOrLdTYgoiNTHlFTL2FWrVG6aMqSr6OS0HCV8hkmUmACY2oFNMBtK&#10;mNpgxHn0GfLo2wS5ZKEhO4a5CFa1deKKYsrglTj3LJMV9+v9QH1t6wfI5W0/R8HxVQuoGxbiHfMY&#10;HFwFqxVv8ZDK4n52sChprP/6r/OUj34iSkmHQcR9vmyZF5So9wadvhiXUI3E7JSn5xM4/jiyPo6Y&#10;rb624DTGEjuezZQf1aMpvdWfsYGLVBUhZjhq9yoNznXsFwQ7zMVikdMwrY7FG3PveALve7HYRivb&#10;3KYkVK/OoB/mNQs67FZaiGM/Zz39T+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G5q5naAAAA&#10;DQEAAA8AAAAAAAAAAQAgAAAAIgAAAGRycy9kb3ducmV2LnhtbFBLAQIUABQAAAAIAIdO4kDv1UmY&#10;VAIAAJcEAAAOAAAAAAAAAAEAIAAAACkBAABkcnMvZTJvRG9jLnhtbFBLBQYAAAAABgAGAFkBAADv&#10;BQAAAAA=&#10;">
                <v:fill on="f" focussize="0,0"/>
                <v:stroke on="f" weight="2pt"/>
                <v:imagedata o:title=""/>
                <o:lock v:ext="edit" aspectratio="f"/>
                <v:textbox>
                  <w:txbxContent>
                    <w:p w14:paraId="2D54A022">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bookmarkEnd w:id="22"/>
    <w:bookmarkEnd w:id="23"/>
    <w:p w14:paraId="102DEFA0">
      <w:pPr>
        <w:pStyle w:val="7"/>
        <w:spacing w:beforeLines="0"/>
        <w:rPr>
          <w:rFonts w:hint="eastAsia" w:ascii="宋体" w:hAnsi="宋体" w:eastAsia="宋体" w:cs="宋体"/>
          <w:color w:val="auto"/>
        </w:rPr>
      </w:pPr>
      <w:bookmarkStart w:id="24" w:name="_Toc134264250"/>
      <w:r>
        <w:rPr>
          <w:rFonts w:hint="eastAsia" w:ascii="Times New Roman"/>
          <w:color w:val="auto"/>
          <w:lang w:val="en-US" w:eastAsia="zh-CN"/>
        </w:rPr>
        <w:t>3</w:t>
      </w:r>
      <w:r>
        <w:rPr>
          <w:rFonts w:ascii="Times New Roman"/>
          <w:color w:val="auto"/>
        </w:rPr>
        <w:t>.7</w:t>
      </w:r>
      <w:r>
        <w:rPr>
          <w:rFonts w:hint="eastAsia" w:ascii="宋体" w:hAnsi="宋体" w:eastAsia="宋体" w:cs="宋体"/>
          <w:color w:val="auto"/>
        </w:rPr>
        <w:t>.2行车道路面材料及要求</w:t>
      </w:r>
      <w:bookmarkEnd w:id="24"/>
      <w:r>
        <w:rPr>
          <w:rFonts w:hint="eastAsia" w:asciiTheme="minorEastAsia" w:hAnsiTheme="minorEastAsia"/>
          <w:kern w:val="0"/>
          <w:sz w:val="24"/>
          <w:lang w:val="zh-CN" w:eastAsia="zh-CN"/>
        </w:rPr>
        <mc:AlternateContent>
          <mc:Choice Requires="wps">
            <w:drawing>
              <wp:anchor distT="0" distB="0" distL="114300" distR="114300" simplePos="0" relativeHeight="251676672" behindDoc="0" locked="0" layoutInCell="1" allowOverlap="1">
                <wp:simplePos x="0" y="0"/>
                <wp:positionH relativeFrom="column">
                  <wp:posOffset>1289050</wp:posOffset>
                </wp:positionH>
                <wp:positionV relativeFrom="paragraph">
                  <wp:posOffset>986155</wp:posOffset>
                </wp:positionV>
                <wp:extent cx="2213610" cy="511810"/>
                <wp:effectExtent l="0" t="0" r="0" b="0"/>
                <wp:wrapNone/>
                <wp:docPr id="42" name="矩形 42"/>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FC54AB6">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31976969">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77.65pt;height:40.3pt;width:174.3pt;z-index:251676672;v-text-anchor:middle;mso-width-relative:page;mso-height-relative:page;" filled="f" stroked="f" coordsize="21600,21600" o:gfxdata="UEsDBAoAAAAAAIdO4kAAAAAAAAAAAAAAAAAEAAAAZHJzL1BLAwQUAAAACACHTuJAyhVL59kAAAAL&#10;AQAADwAAAGRycy9kb3ducmV2LnhtbE2PwU7DMBBE70j8g7VI3KidhlQQ4lQVAqQe2yAhbk68JIF4&#10;HcVu2v492xMcV280+6ZYn9wgZpxC70lDslAgkBpve2o1vFevdw8gQjRkzeAJNZwxwLq8vipMbv2R&#10;djjvYyu4hEJuNHQxjrmUoenQmbDwIxKzLz85E/mcWmknc+RyN8ilUivpTE/8oTMjPnfY/OwPTkOo&#10;5211Hjcf35+hqTcv5Kr77ZvWtzeJegIR8RT/wnDRZ3Uo2an2B7JBDBqWKuUtkUGWpSA4kWXJCkTN&#10;KM0eQZaF/L+h/AVQSwMEFAAAAAgAh07iQKXw8KdRAgAAmAQAAA4AAABkcnMvZTJvRG9jLnhtbK1U&#10;zW4TMRC+I/EOlu90syEtJeqmihoVIVW0UkGcHa+dteQ/bCeb8jJI3HgIHgfxGnz2btuocOiBizPj&#10;mf083zczOTvfG012IkTlbEProwklwnLXKrtp6KePl69OKYmJ2ZZpZ0VD70Sk54uXL856PxdT1znd&#10;ikAAYuO89w3tUvLzqoq8E4bFI+eFRVC6YFiCGzZVG1gPdKOr6WRyUvUutD44LmLE7WoI0hExPAfQ&#10;Sam4WDm+NcKmATUIzRIoxU75SBelWikFT9dSRpGIbiiYpnLiEdjrfFaLMzbfBOY7xccS2HNKeMLJ&#10;MGXx6APUiiVGtkH9BWUUDy46mY64M9VApCgCFvXkiTa3HfOicIHU0T+IHv8fLP+wuwlEtQ2dTSmx&#10;zKDjv7/9+PXzO8EF1Ol9nCPp1t+E0YswM9W9DCb/ggTZF0XvHhQV+0Q4LqfT+vVJDbE5Ysd1fQob&#10;MNXj1z7E9E44Q7LR0ICOFSHZ7iqmIfU+JT9m3aXSGvdsri3p8cLxbJLxGUZRYgRgGg860W4oYXqD&#10;GecpFMiDbzPkisWO7BgGIzqt2rEubVFeJj3QzFbar/cj97Vr76BXcMMgRc8vFaCuWEw3LGByUAp2&#10;K13jkNqhPjdalHQufP3Xfc5HQxGlpMckop4vWxYEJfq9Ravf1rMZYFNxZsdvpnDCYWR9GLFbc+HA&#10;qcYWe17MnJ/0vSmDM5+xgsv8KkLMcrw9qDQ6F2nYECwxF8tlScO4epau7K3nGXzoxXKbnFSlTVmo&#10;QZ1RPwxsafS4XHkjDv2S9fiHsv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yhVL59kAAAALAQAA&#10;DwAAAAAAAAABACAAAAAiAAAAZHJzL2Rvd25yZXYueG1sUEsBAhQAFAAAAAgAh07iQKXw8KdRAgAA&#10;mAQAAA4AAAAAAAAAAQAgAAAAKAEAAGRycy9lMm9Eb2MueG1sUEsFBgAAAAAGAAYAWQEAAOsFAAAA&#10;AA==&#10;">
                <v:fill on="f" focussize="0,0"/>
                <v:stroke on="f" weight="2pt"/>
                <v:imagedata o:title=""/>
                <o:lock v:ext="edit" aspectratio="f"/>
                <v:textbox>
                  <w:txbxContent>
                    <w:p w14:paraId="7FC54AB6">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31976969">
                      <w:pPr>
                        <w:jc w:val="center"/>
                        <w:rPr>
                          <w:color w:val="000000" w:themeColor="text1"/>
                          <w:sz w:val="28"/>
                          <w:szCs w:val="28"/>
                          <w14:textFill>
                            <w14:solidFill>
                              <w14:schemeClr w14:val="tx1"/>
                            </w14:solidFill>
                          </w14:textFill>
                        </w:rPr>
                      </w:pPr>
                    </w:p>
                  </w:txbxContent>
                </v:textbox>
              </v:rect>
            </w:pict>
          </mc:Fallback>
        </mc:AlternateContent>
      </w:r>
    </w:p>
    <w:p w14:paraId="052ACB8B">
      <w:pPr>
        <w:snapToGrid w:val="0"/>
        <w:spacing w:line="360" w:lineRule="auto"/>
        <w:ind w:firstLine="475" w:firstLineChars="197"/>
        <w:rPr>
          <w:rFonts w:hint="eastAsia" w:asciiTheme="minorEastAsia" w:hAnsiTheme="minorEastAsia"/>
          <w:b/>
          <w:sz w:val="24"/>
          <w:lang w:val="en-US" w:eastAsia="zh-CN"/>
        </w:rPr>
      </w:pPr>
      <w:bookmarkStart w:id="25" w:name="_Toc11929"/>
      <w:r>
        <w:rPr>
          <w:rFonts w:hint="eastAsia" w:asciiTheme="minorEastAsia" w:hAnsiTheme="minorEastAsia"/>
          <w:b/>
          <w:sz w:val="24"/>
          <w:lang w:val="en-US" w:eastAsia="zh-CN"/>
        </w:rPr>
        <w:t>1、路面基层设计</w:t>
      </w:r>
      <w:bookmarkEnd w:id="25"/>
    </w:p>
    <w:p w14:paraId="3287A133">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rPr>
        <w:t>1）水泥</w:t>
      </w:r>
    </w:p>
    <w:p w14:paraId="436657F3">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rPr>
        <w:t>水泥稳定碎石基层、底基层所用水泥宜选用初凝时间3小时以上和终凝时间较长（宜在6小时以上）的42.5级普通硅酸盐水泥，其物理性能及化学成分必须符合《通用硅酸盐水泥》（GB175-2007）的规定。不得使用快硬水泥、早强水泥以及已受潮变质的水泥。</w:t>
      </w:r>
    </w:p>
    <w:p w14:paraId="3133DA90">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rPr>
        <w:t>2）集料</w:t>
      </w:r>
    </w:p>
    <w:p w14:paraId="4C57E342">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rPr>
        <w:t>石料应由坚硬、耐磨、干净、无风化砾石或岩石轧制而成，颗粒形状具有菱角，接近立方体，碎石中不应含有粘土块、植物等有害物质，不得含有软质集料和其它杂质。针片状颗粒的总含量不应超过20%，水泥稳定碎石集料压碎值应不大于30%，基层集料最大粒径不应超过31.5mm。</w:t>
      </w:r>
      <w:bookmarkStart w:id="26" w:name="_Ref208723454"/>
    </w:p>
    <w:p w14:paraId="49A78B5F">
      <w:pPr>
        <w:tabs>
          <w:tab w:val="left" w:pos="765"/>
        </w:tabs>
        <w:spacing w:line="360" w:lineRule="auto"/>
        <w:ind w:firstLine="484" w:firstLineChars="202"/>
        <w:rPr>
          <w:rFonts w:hint="eastAsia" w:ascii="黑体" w:hAnsi="黑体" w:eastAsia="黑体" w:cs="黑体"/>
          <w:color w:val="auto"/>
          <w:sz w:val="28"/>
          <w:szCs w:val="28"/>
        </w:rPr>
      </w:pPr>
      <w:r>
        <w:rPr>
          <w:rFonts w:hint="eastAsia" w:asciiTheme="minorEastAsia" w:hAnsiTheme="minorEastAsia"/>
          <w:sz w:val="24"/>
        </w:rPr>
        <w:t>水</w:t>
      </w:r>
      <w:r>
        <w:rPr>
          <w:rFonts w:hint="eastAsia" w:asciiTheme="minorEastAsia" w:hAnsiTheme="minorEastAsia"/>
          <w:sz w:val="24"/>
          <w:lang w:eastAsia="zh-CN"/>
        </w:rPr>
        <w:t>：</w:t>
      </w:r>
      <w:r>
        <w:rPr>
          <w:rFonts w:hint="eastAsia" w:asciiTheme="minorEastAsia" w:hAnsiTheme="minorEastAsia"/>
          <w:sz w:val="24"/>
        </w:rPr>
        <w:t>用于拌和的水必须洁净、无杂物。</w:t>
      </w:r>
    </w:p>
    <w:bookmarkEnd w:id="26"/>
    <w:p w14:paraId="342F360E">
      <w:pPr>
        <w:pStyle w:val="88"/>
        <w:adjustRightInd w:val="0"/>
        <w:snapToGrid w:val="0"/>
        <w:ind w:firstLine="0" w:firstLineChars="0"/>
        <w:jc w:val="center"/>
        <w:rPr>
          <w:rFonts w:hint="eastAsia" w:ascii="宋体" w:hAnsi="宋体" w:eastAsia="宋体" w:cs="宋体"/>
          <w:sz w:val="24"/>
          <w:szCs w:val="24"/>
        </w:rPr>
      </w:pPr>
      <w:r>
        <w:rPr>
          <w:rFonts w:hint="eastAsia" w:ascii="宋体" w:hAnsi="宋体" w:eastAsia="宋体" w:cs="宋体"/>
          <w:sz w:val="24"/>
          <w:szCs w:val="24"/>
        </w:rPr>
        <w:t>水泥稳定碎石基层集料的级配范围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696"/>
        <w:gridCol w:w="696"/>
        <w:gridCol w:w="936"/>
        <w:gridCol w:w="936"/>
        <w:gridCol w:w="936"/>
        <w:gridCol w:w="936"/>
        <w:gridCol w:w="816"/>
        <w:gridCol w:w="816"/>
      </w:tblGrid>
      <w:tr w14:paraId="575561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restart"/>
            <w:shd w:val="clear" w:color="auto" w:fill="auto"/>
            <w:noWrap w:val="0"/>
            <w:vAlign w:val="center"/>
          </w:tcPr>
          <w:p w14:paraId="5FF737D4">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结构层</w:t>
            </w:r>
          </w:p>
        </w:tc>
        <w:tc>
          <w:tcPr>
            <w:tcW w:w="0" w:type="auto"/>
            <w:gridSpan w:val="8"/>
            <w:shd w:val="clear" w:color="auto" w:fill="auto"/>
            <w:noWrap w:val="0"/>
            <w:vAlign w:val="center"/>
          </w:tcPr>
          <w:p w14:paraId="152C2FF4">
            <w:pPr>
              <w:pStyle w:val="90"/>
              <w:rPr>
                <w:rFonts w:hint="eastAsia" w:ascii="宋体" w:hAnsi="宋体" w:eastAsia="宋体" w:cs="Times New Roman"/>
                <w:szCs w:val="24"/>
              </w:rPr>
            </w:pPr>
            <w:r>
              <w:rPr>
                <w:rFonts w:hint="eastAsia" w:ascii="宋体" w:hAnsi="宋体" w:eastAsia="宋体" w:cs="Times New Roman"/>
                <w:szCs w:val="24"/>
                <w:lang w:val="zh-CN" w:eastAsia="zh-CN"/>
              </w:rPr>
              <w:t>通过下列方筛孔（mm）的质量百分率（%）</w:t>
            </w:r>
          </w:p>
        </w:tc>
      </w:tr>
      <w:tr w14:paraId="451EC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vMerge w:val="continue"/>
            <w:tcBorders>
              <w:bottom w:val="single" w:color="auto" w:sz="4" w:space="0"/>
            </w:tcBorders>
            <w:shd w:val="clear" w:color="auto" w:fill="auto"/>
            <w:noWrap w:val="0"/>
            <w:vAlign w:val="center"/>
          </w:tcPr>
          <w:p w14:paraId="45CB3107">
            <w:pPr>
              <w:pStyle w:val="90"/>
              <w:rPr>
                <w:rFonts w:hint="eastAsia" w:ascii="宋体" w:hAnsi="宋体" w:eastAsia="宋体" w:cs="Times New Roman"/>
                <w:szCs w:val="24"/>
                <w:lang w:val="zh-CN" w:eastAsia="zh-CN"/>
              </w:rPr>
            </w:pPr>
          </w:p>
        </w:tc>
        <w:tc>
          <w:tcPr>
            <w:tcW w:w="0" w:type="auto"/>
            <w:shd w:val="clear" w:color="auto" w:fill="auto"/>
            <w:noWrap w:val="0"/>
            <w:vAlign w:val="center"/>
          </w:tcPr>
          <w:p w14:paraId="64809277">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37.5</w:t>
            </w:r>
          </w:p>
        </w:tc>
        <w:tc>
          <w:tcPr>
            <w:tcW w:w="0" w:type="auto"/>
            <w:shd w:val="clear" w:color="auto" w:fill="auto"/>
            <w:noWrap w:val="0"/>
            <w:vAlign w:val="center"/>
          </w:tcPr>
          <w:p w14:paraId="4AC73EC3">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31.5</w:t>
            </w:r>
          </w:p>
        </w:tc>
        <w:tc>
          <w:tcPr>
            <w:tcW w:w="0" w:type="auto"/>
            <w:shd w:val="clear" w:color="auto" w:fill="auto"/>
            <w:noWrap w:val="0"/>
            <w:vAlign w:val="center"/>
          </w:tcPr>
          <w:p w14:paraId="136F7B82">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19.0</w:t>
            </w:r>
          </w:p>
        </w:tc>
        <w:tc>
          <w:tcPr>
            <w:tcW w:w="0" w:type="auto"/>
            <w:shd w:val="clear" w:color="auto" w:fill="auto"/>
            <w:noWrap w:val="0"/>
            <w:vAlign w:val="center"/>
          </w:tcPr>
          <w:p w14:paraId="50D0EFF5">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9.5</w:t>
            </w:r>
          </w:p>
        </w:tc>
        <w:tc>
          <w:tcPr>
            <w:tcW w:w="0" w:type="auto"/>
            <w:shd w:val="clear" w:color="auto" w:fill="auto"/>
            <w:noWrap w:val="0"/>
            <w:vAlign w:val="center"/>
          </w:tcPr>
          <w:p w14:paraId="60AA42D2">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4.75</w:t>
            </w:r>
          </w:p>
        </w:tc>
        <w:tc>
          <w:tcPr>
            <w:tcW w:w="0" w:type="auto"/>
            <w:shd w:val="clear" w:color="auto" w:fill="auto"/>
            <w:noWrap w:val="0"/>
            <w:vAlign w:val="center"/>
          </w:tcPr>
          <w:p w14:paraId="3F966AAA">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2.36</w:t>
            </w:r>
          </w:p>
        </w:tc>
        <w:tc>
          <w:tcPr>
            <w:tcW w:w="0" w:type="auto"/>
            <w:shd w:val="clear" w:color="auto" w:fill="auto"/>
            <w:noWrap w:val="0"/>
            <w:vAlign w:val="center"/>
          </w:tcPr>
          <w:p w14:paraId="439E82F0">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0.60</w:t>
            </w:r>
          </w:p>
        </w:tc>
        <w:tc>
          <w:tcPr>
            <w:tcW w:w="0" w:type="auto"/>
            <w:shd w:val="clear" w:color="auto" w:fill="auto"/>
            <w:noWrap w:val="0"/>
            <w:vAlign w:val="center"/>
          </w:tcPr>
          <w:p w14:paraId="5814E798">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0.075</w:t>
            </w:r>
          </w:p>
        </w:tc>
      </w:tr>
      <w:tr w14:paraId="7A547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0" w:type="auto"/>
            <w:shd w:val="clear" w:color="auto" w:fill="auto"/>
            <w:noWrap w:val="0"/>
            <w:vAlign w:val="center"/>
          </w:tcPr>
          <w:p w14:paraId="378FDA7A">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基层</w:t>
            </w:r>
          </w:p>
        </w:tc>
        <w:tc>
          <w:tcPr>
            <w:tcW w:w="0" w:type="auto"/>
            <w:shd w:val="clear" w:color="auto" w:fill="auto"/>
            <w:noWrap w:val="0"/>
            <w:vAlign w:val="center"/>
          </w:tcPr>
          <w:p w14:paraId="48081C00">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w:t>
            </w:r>
          </w:p>
        </w:tc>
        <w:tc>
          <w:tcPr>
            <w:tcW w:w="0" w:type="auto"/>
            <w:shd w:val="clear" w:color="auto" w:fill="auto"/>
            <w:noWrap w:val="0"/>
            <w:vAlign w:val="center"/>
          </w:tcPr>
          <w:p w14:paraId="42A29C17">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100</w:t>
            </w:r>
          </w:p>
        </w:tc>
        <w:tc>
          <w:tcPr>
            <w:tcW w:w="0" w:type="auto"/>
            <w:shd w:val="clear" w:color="auto" w:fill="auto"/>
            <w:noWrap w:val="0"/>
            <w:vAlign w:val="center"/>
          </w:tcPr>
          <w:p w14:paraId="403D81A7">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68～86</w:t>
            </w:r>
          </w:p>
        </w:tc>
        <w:tc>
          <w:tcPr>
            <w:tcW w:w="0" w:type="auto"/>
            <w:shd w:val="clear" w:color="auto" w:fill="auto"/>
            <w:noWrap w:val="0"/>
            <w:vAlign w:val="center"/>
          </w:tcPr>
          <w:p w14:paraId="384C2D9C">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38～58</w:t>
            </w:r>
          </w:p>
        </w:tc>
        <w:tc>
          <w:tcPr>
            <w:tcW w:w="0" w:type="auto"/>
            <w:shd w:val="clear" w:color="auto" w:fill="auto"/>
            <w:noWrap w:val="0"/>
            <w:vAlign w:val="center"/>
          </w:tcPr>
          <w:p w14:paraId="5AF0AB27">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22～32</w:t>
            </w:r>
          </w:p>
        </w:tc>
        <w:tc>
          <w:tcPr>
            <w:tcW w:w="0" w:type="auto"/>
            <w:shd w:val="clear" w:color="auto" w:fill="auto"/>
            <w:noWrap w:val="0"/>
            <w:vAlign w:val="center"/>
          </w:tcPr>
          <w:p w14:paraId="471B611F">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16～28</w:t>
            </w:r>
          </w:p>
        </w:tc>
        <w:tc>
          <w:tcPr>
            <w:tcW w:w="0" w:type="auto"/>
            <w:shd w:val="clear" w:color="auto" w:fill="auto"/>
            <w:noWrap w:val="0"/>
            <w:vAlign w:val="center"/>
          </w:tcPr>
          <w:p w14:paraId="03788A51">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8～15</w:t>
            </w:r>
          </w:p>
        </w:tc>
        <w:tc>
          <w:tcPr>
            <w:tcW w:w="0" w:type="auto"/>
            <w:shd w:val="clear" w:color="auto" w:fill="auto"/>
            <w:noWrap w:val="0"/>
            <w:vAlign w:val="center"/>
          </w:tcPr>
          <w:p w14:paraId="6E763148">
            <w:pPr>
              <w:pStyle w:val="90"/>
              <w:rPr>
                <w:rFonts w:hint="eastAsia" w:ascii="宋体" w:hAnsi="宋体" w:eastAsia="宋体" w:cs="Times New Roman"/>
                <w:szCs w:val="24"/>
                <w:lang w:val="zh-CN" w:eastAsia="zh-CN"/>
              </w:rPr>
            </w:pPr>
            <w:r>
              <w:rPr>
                <w:rFonts w:hint="eastAsia" w:ascii="宋体" w:hAnsi="宋体" w:eastAsia="宋体" w:cs="Times New Roman"/>
                <w:szCs w:val="24"/>
                <w:lang w:val="zh-CN" w:eastAsia="zh-CN"/>
              </w:rPr>
              <w:t>0～3</w:t>
            </w:r>
          </w:p>
        </w:tc>
      </w:tr>
    </w:tbl>
    <w:p w14:paraId="0D265C32">
      <w:pPr>
        <w:tabs>
          <w:tab w:val="left" w:pos="765"/>
        </w:tabs>
        <w:spacing w:line="360" w:lineRule="auto"/>
        <w:ind w:firstLine="484" w:firstLineChars="202"/>
        <w:rPr>
          <w:rFonts w:hint="eastAsia" w:asciiTheme="minorEastAsia" w:hAnsiTheme="minorEastAsia"/>
          <w:sz w:val="24"/>
          <w:lang w:val="en-US" w:eastAsia="zh-CN"/>
        </w:rPr>
      </w:pPr>
      <w:r>
        <w:rPr>
          <w:rFonts w:hint="eastAsia" w:asciiTheme="minorEastAsia" w:hAnsiTheme="minorEastAsia"/>
          <w:sz w:val="24"/>
          <w:lang w:val="en-US" w:eastAsia="zh-CN"/>
        </w:rPr>
        <w:t>3）配合比</w:t>
      </w:r>
    </w:p>
    <w:p w14:paraId="1E785DAC">
      <w:pPr>
        <w:tabs>
          <w:tab w:val="left" w:pos="765"/>
        </w:tabs>
        <w:spacing w:line="360" w:lineRule="auto"/>
        <w:ind w:firstLine="484" w:firstLineChars="202"/>
        <w:rPr>
          <w:rFonts w:hint="eastAsia" w:asciiTheme="minorEastAsia" w:hAnsiTheme="minorEastAsia"/>
          <w:sz w:val="24"/>
          <w:lang w:eastAsia="zh-CN"/>
        </w:rPr>
      </w:pPr>
      <w:r>
        <w:rPr>
          <w:rFonts w:hint="eastAsia" w:asciiTheme="minorEastAsia" w:hAnsiTheme="minorEastAsia"/>
          <w:sz w:val="24"/>
          <w:lang w:eastAsia="zh-CN"/>
        </w:rPr>
        <w:t>水泥∶干土＝5:100（重量比）（5%水泥稳定级配碎石），水泥∶干土＝4:100（重量比）（4%水泥稳定级配碎石）。</w:t>
      </w:r>
    </w:p>
    <w:p w14:paraId="1A7714E9">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4</w:t>
      </w:r>
      <w:r>
        <w:rPr>
          <w:rFonts w:hint="eastAsia" w:asciiTheme="minorEastAsia" w:hAnsiTheme="minorEastAsia"/>
          <w:sz w:val="24"/>
        </w:rPr>
        <w:t>）施工要求</w:t>
      </w:r>
    </w:p>
    <w:p w14:paraId="076761F6">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rPr>
        <w:t>水泥碎石稳定层—骨料按《公路路面基层施工技术细则》（JTG/TF20-2015）有关规定执行，水泥稳定碎石最佳压实含水量应通过试验确定，应采用机拌，若有条件应在中心站集中拌制，每层松铺厚度不大于</w:t>
      </w:r>
      <w:r>
        <w:rPr>
          <w:rFonts w:hint="eastAsia" w:asciiTheme="minorEastAsia" w:hAnsiTheme="minorEastAsia"/>
          <w:sz w:val="24"/>
          <w:lang w:val="en-US" w:eastAsia="zh-CN"/>
        </w:rPr>
        <w:t>20</w:t>
      </w:r>
      <w:r>
        <w:rPr>
          <w:rFonts w:hint="eastAsia" w:asciiTheme="minorEastAsia" w:hAnsiTheme="minorEastAsia"/>
          <w:sz w:val="24"/>
        </w:rPr>
        <w:t>厘米。</w:t>
      </w:r>
    </w:p>
    <w:p w14:paraId="32B34B6F">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①</w:t>
      </w:r>
      <w:r>
        <w:rPr>
          <w:rFonts w:hint="eastAsia" w:asciiTheme="minorEastAsia" w:hAnsiTheme="minorEastAsia"/>
          <w:sz w:val="24"/>
        </w:rPr>
        <w:t>水泥稳定碎石结构层施工应严格控制每一层的厚度和高程，应严格控制路拱坡度与设计相一致，严禁用薄层贴补法进行找平。</w:t>
      </w:r>
    </w:p>
    <w:p w14:paraId="7F967AF4">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②</w:t>
      </w:r>
      <w:r>
        <w:rPr>
          <w:rFonts w:hint="eastAsia" w:asciiTheme="minorEastAsia" w:hAnsiTheme="minorEastAsia"/>
          <w:sz w:val="24"/>
        </w:rPr>
        <w:t>在雨季施工水泥稳定碎石结构层时，应特别注意气候变化，勿使水泥和混合料遭雨淋。降雨时应停止施工，但已经摊铺的水泥混合料应尽快碾压密实。</w:t>
      </w:r>
    </w:p>
    <w:p w14:paraId="6F987796">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③</w:t>
      </w:r>
      <w:r>
        <w:rPr>
          <w:rFonts w:hint="eastAsia" w:asciiTheme="minorEastAsia" w:hAnsiTheme="minorEastAsia"/>
          <w:sz w:val="24"/>
        </w:rPr>
        <w:t>必须在水泥的终凝时间之内完成碾压工作。碾压时要保证在最佳含水量或略大于最佳含水量情况下碾压。</w:t>
      </w:r>
    </w:p>
    <w:p w14:paraId="7FBBF186">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④</w:t>
      </w:r>
      <w:r>
        <w:rPr>
          <w:rFonts w:hint="eastAsia" w:asciiTheme="minorEastAsia" w:hAnsiTheme="minorEastAsia"/>
          <w:sz w:val="24"/>
        </w:rPr>
        <w:t>每天摊铺混合料时应尽量减少横向工作接缝，横向施工缝应做成垂直接缝。</w:t>
      </w:r>
    </w:p>
    <w:p w14:paraId="39A37D9C">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⑤</w:t>
      </w:r>
      <w:r>
        <w:rPr>
          <w:rFonts w:hint="eastAsia" w:asciiTheme="minorEastAsia" w:hAnsiTheme="minorEastAsia"/>
          <w:sz w:val="24"/>
        </w:rPr>
        <w:t>水泥稳定碎石养生必须采用洒水或覆盖塑料薄膜养生，洒水养生要保证水稳层表面始终湿润，避免忽干忽湿；采用薄膜养生，应用人工全宽范围内覆盖薄膜，并用碎料压实。</w:t>
      </w:r>
    </w:p>
    <w:p w14:paraId="530161FF">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⑥</w:t>
      </w:r>
      <w:r>
        <w:rPr>
          <w:rFonts w:hint="eastAsia" w:asciiTheme="minorEastAsia" w:hAnsiTheme="minorEastAsia"/>
          <w:sz w:val="24"/>
        </w:rPr>
        <w:t>施工结束后封闭交通，7天养生期内禁止车辆通行。</w:t>
      </w:r>
    </w:p>
    <w:p w14:paraId="7D658EAF">
      <w:pPr>
        <w:tabs>
          <w:tab w:val="left" w:pos="765"/>
        </w:tabs>
        <w:spacing w:line="360" w:lineRule="auto"/>
        <w:ind w:firstLine="484" w:firstLineChars="202"/>
        <w:rPr>
          <w:rFonts w:hint="eastAsia" w:asciiTheme="minorEastAsia" w:hAnsiTheme="minorEastAsia"/>
          <w:sz w:val="24"/>
        </w:rPr>
      </w:pPr>
      <w:r>
        <w:rPr>
          <w:rFonts w:hint="eastAsia" w:asciiTheme="minorEastAsia" w:hAnsiTheme="minorEastAsia"/>
          <w:sz w:val="24"/>
          <w:lang w:val="en-US" w:eastAsia="zh-CN"/>
        </w:rPr>
        <w:t>5）</w:t>
      </w:r>
      <w:r>
        <w:rPr>
          <w:rFonts w:hint="eastAsia" w:asciiTheme="minorEastAsia" w:hAnsiTheme="minorEastAsia"/>
          <w:sz w:val="24"/>
        </w:rPr>
        <w:t>检验</w:t>
      </w:r>
    </w:p>
    <w:p w14:paraId="3956076B">
      <w:pPr>
        <w:tabs>
          <w:tab w:val="left" w:pos="765"/>
        </w:tabs>
        <w:spacing w:line="360" w:lineRule="auto"/>
        <w:ind w:firstLine="484" w:firstLineChars="202"/>
        <w:rPr>
          <w:rFonts w:hint="eastAsia" w:ascii="黑体" w:hAnsi="黑体" w:eastAsia="黑体" w:cs="黑体"/>
          <w:color w:val="auto"/>
          <w:sz w:val="28"/>
          <w:szCs w:val="28"/>
        </w:rPr>
      </w:pPr>
      <w:r>
        <w:rPr>
          <w:rFonts w:hint="eastAsia" w:asciiTheme="minorEastAsia" w:hAnsiTheme="minorEastAsia"/>
          <w:sz w:val="24"/>
        </w:rPr>
        <w:t>水泥稳定碎石各项指标的检验应在24小时内完成，首先表面应均匀无松散等现象，各项质量指标应满足规范要求。</w:t>
      </w:r>
    </w:p>
    <w:p w14:paraId="187D5957">
      <w:pPr>
        <w:pStyle w:val="88"/>
        <w:adjustRightInd w:val="0"/>
        <w:snapToGrid w:val="0"/>
        <w:ind w:firstLine="0" w:firstLineChars="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水泥稳定碎石基层检查项目</w:t>
      </w:r>
    </w:p>
    <w:tbl>
      <w:tblPr>
        <w:tblStyle w:val="32"/>
        <w:tblW w:w="506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5"/>
        <w:gridCol w:w="2512"/>
        <w:gridCol w:w="2436"/>
        <w:gridCol w:w="7868"/>
      </w:tblGrid>
      <w:tr w14:paraId="78126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exact"/>
          <w:tblHeader/>
          <w:jc w:val="center"/>
        </w:trPr>
        <w:tc>
          <w:tcPr>
            <w:tcW w:w="433" w:type="pct"/>
            <w:shd w:val="clear" w:color="auto" w:fill="auto"/>
            <w:noWrap w:val="0"/>
            <w:vAlign w:val="top"/>
          </w:tcPr>
          <w:p w14:paraId="0AD44474">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序号</w:t>
            </w:r>
          </w:p>
        </w:tc>
        <w:tc>
          <w:tcPr>
            <w:tcW w:w="895" w:type="pct"/>
            <w:shd w:val="clear" w:color="auto" w:fill="auto"/>
            <w:noWrap w:val="0"/>
            <w:vAlign w:val="top"/>
          </w:tcPr>
          <w:p w14:paraId="32819747">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检查项目</w:t>
            </w:r>
          </w:p>
        </w:tc>
        <w:tc>
          <w:tcPr>
            <w:tcW w:w="868" w:type="pct"/>
            <w:shd w:val="clear" w:color="auto" w:fill="auto"/>
            <w:noWrap w:val="0"/>
            <w:vAlign w:val="top"/>
          </w:tcPr>
          <w:p w14:paraId="1E67C20E">
            <w:pPr>
              <w:pStyle w:val="90"/>
              <w:rPr>
                <w:rFonts w:hint="eastAsia" w:ascii="宋体" w:hAnsi="宋体" w:eastAsia="宋体" w:cs="Times New Roman"/>
                <w:szCs w:val="24"/>
                <w:lang w:val="en-US" w:eastAsia="zh-CN"/>
              </w:rPr>
            </w:pPr>
            <w:r>
              <w:rPr>
                <w:rFonts w:hint="eastAsia" w:ascii="宋体" w:hAnsi="宋体" w:eastAsia="宋体" w:cs="Times New Roman"/>
                <w:szCs w:val="24"/>
                <w:lang w:val="zh-CN" w:eastAsia="zh-CN"/>
              </w:rPr>
              <w:t>规定值或允许偏差</w:t>
            </w:r>
          </w:p>
        </w:tc>
        <w:tc>
          <w:tcPr>
            <w:tcW w:w="2803" w:type="pct"/>
            <w:shd w:val="clear" w:color="auto" w:fill="auto"/>
            <w:noWrap w:val="0"/>
            <w:vAlign w:val="top"/>
          </w:tcPr>
          <w:p w14:paraId="004704EB">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检查方法和频率</w:t>
            </w:r>
          </w:p>
        </w:tc>
      </w:tr>
      <w:tr w14:paraId="0DAB9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3DEBAE00">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w:t>
            </w:r>
          </w:p>
        </w:tc>
        <w:tc>
          <w:tcPr>
            <w:tcW w:w="895" w:type="pct"/>
            <w:shd w:val="clear" w:color="auto" w:fill="auto"/>
            <w:noWrap w:val="0"/>
            <w:vAlign w:val="top"/>
          </w:tcPr>
          <w:p w14:paraId="3DF68F06">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压实度（％）</w:t>
            </w:r>
          </w:p>
        </w:tc>
        <w:tc>
          <w:tcPr>
            <w:tcW w:w="868" w:type="pct"/>
            <w:shd w:val="clear" w:color="auto" w:fill="auto"/>
            <w:noWrap w:val="0"/>
            <w:vAlign w:val="top"/>
          </w:tcPr>
          <w:p w14:paraId="7E02B5B4">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98</w:t>
            </w:r>
          </w:p>
        </w:tc>
        <w:tc>
          <w:tcPr>
            <w:tcW w:w="2803" w:type="pct"/>
            <w:shd w:val="clear" w:color="auto" w:fill="auto"/>
            <w:noWrap w:val="0"/>
            <w:vAlign w:val="top"/>
          </w:tcPr>
          <w:p w14:paraId="389ABEE1">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用密度法每200m每车道2处</w:t>
            </w:r>
          </w:p>
        </w:tc>
      </w:tr>
      <w:tr w14:paraId="68FF0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58EEE27C">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2</w:t>
            </w:r>
          </w:p>
        </w:tc>
        <w:tc>
          <w:tcPr>
            <w:tcW w:w="895" w:type="pct"/>
            <w:shd w:val="clear" w:color="auto" w:fill="auto"/>
            <w:noWrap w:val="0"/>
            <w:vAlign w:val="top"/>
          </w:tcPr>
          <w:p w14:paraId="0A7C0A1B">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强度（Mpa）</w:t>
            </w:r>
          </w:p>
        </w:tc>
        <w:tc>
          <w:tcPr>
            <w:tcW w:w="868" w:type="pct"/>
            <w:shd w:val="clear" w:color="auto" w:fill="auto"/>
            <w:noWrap w:val="0"/>
            <w:vAlign w:val="top"/>
          </w:tcPr>
          <w:p w14:paraId="7C301890">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检查项目</w:t>
            </w:r>
          </w:p>
        </w:tc>
        <w:tc>
          <w:tcPr>
            <w:tcW w:w="2803" w:type="pct"/>
            <w:shd w:val="clear" w:color="auto" w:fill="auto"/>
            <w:noWrap w:val="0"/>
            <w:vAlign w:val="top"/>
          </w:tcPr>
          <w:p w14:paraId="1FAF3192">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依《公路工程质量检验评定标准》</w:t>
            </w:r>
          </w:p>
        </w:tc>
      </w:tr>
      <w:tr w14:paraId="7B332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084C7A45">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3</w:t>
            </w:r>
          </w:p>
        </w:tc>
        <w:tc>
          <w:tcPr>
            <w:tcW w:w="895" w:type="pct"/>
            <w:shd w:val="clear" w:color="auto" w:fill="auto"/>
            <w:noWrap w:val="0"/>
            <w:vAlign w:val="top"/>
          </w:tcPr>
          <w:p w14:paraId="3F2B1B2E">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平整度（mm）</w:t>
            </w:r>
          </w:p>
        </w:tc>
        <w:tc>
          <w:tcPr>
            <w:tcW w:w="868" w:type="pct"/>
            <w:shd w:val="clear" w:color="auto" w:fill="auto"/>
            <w:noWrap w:val="0"/>
            <w:vAlign w:val="top"/>
          </w:tcPr>
          <w:p w14:paraId="081FE39C">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8</w:t>
            </w:r>
          </w:p>
        </w:tc>
        <w:tc>
          <w:tcPr>
            <w:tcW w:w="2803" w:type="pct"/>
            <w:shd w:val="clear" w:color="auto" w:fill="auto"/>
            <w:noWrap w:val="0"/>
            <w:vAlign w:val="top"/>
          </w:tcPr>
          <w:p w14:paraId="5F7E0257">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3米直尺：每200米测2处×10尺</w:t>
            </w:r>
          </w:p>
        </w:tc>
      </w:tr>
      <w:tr w14:paraId="42258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286AEB6D">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4</w:t>
            </w:r>
          </w:p>
        </w:tc>
        <w:tc>
          <w:tcPr>
            <w:tcW w:w="895" w:type="pct"/>
            <w:shd w:val="clear" w:color="auto" w:fill="auto"/>
            <w:noWrap w:val="0"/>
            <w:vAlign w:val="top"/>
          </w:tcPr>
          <w:p w14:paraId="7F5995BD">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纵断高程（mm）</w:t>
            </w:r>
          </w:p>
        </w:tc>
        <w:tc>
          <w:tcPr>
            <w:tcW w:w="868" w:type="pct"/>
            <w:shd w:val="clear" w:color="auto" w:fill="auto"/>
            <w:noWrap w:val="0"/>
            <w:vAlign w:val="top"/>
          </w:tcPr>
          <w:p w14:paraId="2D07EC5A">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-10～+5</w:t>
            </w:r>
          </w:p>
        </w:tc>
        <w:tc>
          <w:tcPr>
            <w:tcW w:w="2803" w:type="pct"/>
            <w:shd w:val="clear" w:color="auto" w:fill="auto"/>
            <w:noWrap w:val="0"/>
            <w:vAlign w:val="top"/>
          </w:tcPr>
          <w:p w14:paraId="56409AD6">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水准仪：每200米测4个断面</w:t>
            </w:r>
          </w:p>
        </w:tc>
      </w:tr>
      <w:tr w14:paraId="70C6CB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4349CC47">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5</w:t>
            </w:r>
          </w:p>
        </w:tc>
        <w:tc>
          <w:tcPr>
            <w:tcW w:w="895" w:type="pct"/>
            <w:shd w:val="clear" w:color="auto" w:fill="auto"/>
            <w:noWrap w:val="0"/>
            <w:vAlign w:val="top"/>
          </w:tcPr>
          <w:p w14:paraId="1E79C425">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宽度（mm）</w:t>
            </w:r>
          </w:p>
        </w:tc>
        <w:tc>
          <w:tcPr>
            <w:tcW w:w="868" w:type="pct"/>
            <w:shd w:val="clear" w:color="auto" w:fill="auto"/>
            <w:noWrap w:val="0"/>
            <w:vAlign w:val="top"/>
          </w:tcPr>
          <w:p w14:paraId="4D831217">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符合设计要求</w:t>
            </w:r>
          </w:p>
        </w:tc>
        <w:tc>
          <w:tcPr>
            <w:tcW w:w="2803" w:type="pct"/>
            <w:shd w:val="clear" w:color="auto" w:fill="auto"/>
            <w:noWrap w:val="0"/>
            <w:vAlign w:val="top"/>
          </w:tcPr>
          <w:p w14:paraId="270C1FF9">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量尺：每200米测4处</w:t>
            </w:r>
          </w:p>
        </w:tc>
      </w:tr>
      <w:tr w14:paraId="525E0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5102FE6A">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6</w:t>
            </w:r>
          </w:p>
        </w:tc>
        <w:tc>
          <w:tcPr>
            <w:tcW w:w="895" w:type="pct"/>
            <w:shd w:val="clear" w:color="auto" w:fill="auto"/>
            <w:noWrap w:val="0"/>
            <w:vAlign w:val="top"/>
          </w:tcPr>
          <w:p w14:paraId="4E50A55F">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厚度（mm）</w:t>
            </w:r>
          </w:p>
        </w:tc>
        <w:tc>
          <w:tcPr>
            <w:tcW w:w="868" w:type="pct"/>
            <w:shd w:val="clear" w:color="auto" w:fill="auto"/>
            <w:noWrap w:val="0"/>
            <w:vAlign w:val="top"/>
          </w:tcPr>
          <w:p w14:paraId="7F0FF486">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符合设计要求</w:t>
            </w:r>
          </w:p>
        </w:tc>
        <w:tc>
          <w:tcPr>
            <w:tcW w:w="2803" w:type="pct"/>
            <w:shd w:val="clear" w:color="auto" w:fill="auto"/>
            <w:noWrap w:val="0"/>
            <w:vAlign w:val="top"/>
          </w:tcPr>
          <w:p w14:paraId="66172035">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每200米每车道1点</w:t>
            </w:r>
          </w:p>
        </w:tc>
      </w:tr>
      <w:tr w14:paraId="3DDF0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jc w:val="center"/>
        </w:trPr>
        <w:tc>
          <w:tcPr>
            <w:tcW w:w="433" w:type="pct"/>
            <w:shd w:val="clear" w:color="auto" w:fill="auto"/>
            <w:noWrap w:val="0"/>
            <w:vAlign w:val="top"/>
          </w:tcPr>
          <w:p w14:paraId="7B0474A2">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7</w:t>
            </w:r>
          </w:p>
        </w:tc>
        <w:tc>
          <w:tcPr>
            <w:tcW w:w="895" w:type="pct"/>
            <w:shd w:val="clear" w:color="auto" w:fill="auto"/>
            <w:noWrap w:val="0"/>
            <w:vAlign w:val="top"/>
          </w:tcPr>
          <w:p w14:paraId="43B45E39">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横坡（％）</w:t>
            </w:r>
          </w:p>
        </w:tc>
        <w:tc>
          <w:tcPr>
            <w:tcW w:w="868" w:type="pct"/>
            <w:shd w:val="clear" w:color="auto" w:fill="auto"/>
            <w:noWrap w:val="0"/>
            <w:vAlign w:val="top"/>
          </w:tcPr>
          <w:p w14:paraId="119EE2B1">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±0.3</w:t>
            </w:r>
          </w:p>
        </w:tc>
        <w:tc>
          <w:tcPr>
            <w:tcW w:w="2803" w:type="pct"/>
            <w:shd w:val="clear" w:color="auto" w:fill="auto"/>
            <w:noWrap w:val="0"/>
            <w:vAlign w:val="top"/>
          </w:tcPr>
          <w:p w14:paraId="5824A643">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水准仪：每200米测4个断面</w:t>
            </w:r>
          </w:p>
        </w:tc>
      </w:tr>
    </w:tbl>
    <w:p w14:paraId="47830E10">
      <w:pPr>
        <w:pStyle w:val="90"/>
        <w:rPr>
          <w:rFonts w:hint="eastAsia" w:ascii="宋体" w:hAnsi="宋体" w:eastAsia="宋体" w:cs="Times New Roman"/>
          <w:szCs w:val="24"/>
          <w:lang w:val="en-US" w:eastAsia="zh-CN"/>
        </w:rPr>
      </w:pPr>
    </w:p>
    <w:p w14:paraId="641A03B8">
      <w:pPr>
        <w:snapToGrid w:val="0"/>
        <w:spacing w:line="360" w:lineRule="auto"/>
        <w:ind w:firstLine="475" w:firstLineChars="197"/>
        <w:rPr>
          <w:rFonts w:hint="eastAsia" w:asciiTheme="minorEastAsia" w:hAnsiTheme="minorEastAsia"/>
          <w:b/>
          <w:sz w:val="24"/>
          <w:lang w:val="en-US" w:eastAsia="zh-CN"/>
        </w:rPr>
      </w:pPr>
      <w:r>
        <w:rPr>
          <w:rFonts w:hint="eastAsia" w:asciiTheme="minorEastAsia" w:hAnsiTheme="minorEastAsia"/>
          <w:b/>
          <w:sz w:val="24"/>
          <w:lang w:val="en-US" w:eastAsia="zh-CN"/>
        </w:rPr>
        <w:t>2、水泥砼路面设计</w:t>
      </w:r>
    </w:p>
    <w:p w14:paraId="7C2C40D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1、水泥</w:t>
      </w:r>
    </w:p>
    <w:p w14:paraId="0886206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水泥宜选强度等级42.5级以上普通硅酸盐水泥,一般路段选择28天龄期的抗压强度应大于52.5Mpa,抗拉强度应大于7.0Mpa的水泥。</w:t>
      </w:r>
    </w:p>
    <w:p w14:paraId="65EF310F">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2、粗集料</w:t>
      </w:r>
    </w:p>
    <w:p w14:paraId="29D6B7F9">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粗集料的最大公称粒径，碎砾石不得大于26.5mm。粗集料应质地坚硬、耐久、洁净，且符合有关规定对级配的要求。粗集料等级不小于Ⅰ级，粗集料技术要求应符合《城镇道路工程施工与质量验收规范》表10.1.2-1中的相关要求，级配应符合下表要求。</w:t>
      </w:r>
    </w:p>
    <w:p w14:paraId="493D69EB">
      <w:pPr>
        <w:pStyle w:val="88"/>
        <w:adjustRightInd w:val="0"/>
        <w:snapToGrid w:val="0"/>
        <w:ind w:firstLine="0" w:firstLineChars="0"/>
        <w:jc w:val="center"/>
        <w:rPr>
          <w:rFonts w:hint="eastAsia" w:ascii="宋体" w:hAnsi="宋体" w:eastAsia="宋体" w:cs="宋体"/>
          <w:sz w:val="24"/>
          <w:szCs w:val="24"/>
        </w:rPr>
      </w:pPr>
      <w:r>
        <w:rPr>
          <w:rFonts w:hint="eastAsia" w:ascii="宋体" w:hAnsi="宋体" w:eastAsia="宋体" w:cs="宋体"/>
          <w:sz w:val="24"/>
          <w:szCs w:val="24"/>
        </w:rPr>
        <w:t>粗级料级配表</w:t>
      </w:r>
    </w:p>
    <w:tbl>
      <w:tblPr>
        <w:tblStyle w:val="31"/>
        <w:tblW w:w="94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2"/>
        <w:gridCol w:w="1137"/>
        <w:gridCol w:w="1209"/>
        <w:gridCol w:w="1137"/>
        <w:gridCol w:w="1137"/>
        <w:gridCol w:w="1137"/>
        <w:gridCol w:w="1137"/>
        <w:gridCol w:w="1143"/>
      </w:tblGrid>
      <w:tr w14:paraId="0C626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1422" w:type="dxa"/>
            <w:vMerge w:val="restart"/>
            <w:tcBorders>
              <w:tl2br w:val="nil"/>
              <w:tr2bl w:val="nil"/>
            </w:tcBorders>
            <w:shd w:val="clear" w:color="auto" w:fill="auto"/>
            <w:noWrap/>
            <w:vAlign w:val="center"/>
          </w:tcPr>
          <w:p w14:paraId="49AA9083">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类型</w:t>
            </w:r>
          </w:p>
        </w:tc>
        <w:tc>
          <w:tcPr>
            <w:tcW w:w="8037" w:type="dxa"/>
            <w:gridSpan w:val="7"/>
            <w:tcBorders>
              <w:tl2br w:val="nil"/>
              <w:tr2bl w:val="nil"/>
            </w:tcBorders>
            <w:shd w:val="clear" w:color="auto" w:fill="auto"/>
            <w:noWrap/>
            <w:vAlign w:val="center"/>
          </w:tcPr>
          <w:p w14:paraId="151B3825">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通过下列筛孔（mm）的重量百分率（％）</w:t>
            </w:r>
          </w:p>
        </w:tc>
      </w:tr>
      <w:tr w14:paraId="36EAE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1422" w:type="dxa"/>
            <w:vMerge w:val="continue"/>
            <w:tcBorders>
              <w:tl2br w:val="nil"/>
              <w:tr2bl w:val="nil"/>
            </w:tcBorders>
            <w:shd w:val="clear" w:color="auto" w:fill="auto"/>
            <w:noWrap/>
            <w:vAlign w:val="center"/>
          </w:tcPr>
          <w:p w14:paraId="6E3FB57B">
            <w:pPr>
              <w:pStyle w:val="90"/>
              <w:rPr>
                <w:rFonts w:hint="eastAsia" w:ascii="宋体" w:hAnsi="宋体" w:eastAsia="宋体" w:cs="Times New Roman"/>
                <w:szCs w:val="24"/>
              </w:rPr>
            </w:pPr>
          </w:p>
        </w:tc>
        <w:tc>
          <w:tcPr>
            <w:tcW w:w="1137" w:type="dxa"/>
            <w:tcBorders>
              <w:tl2br w:val="nil"/>
              <w:tr2bl w:val="nil"/>
            </w:tcBorders>
            <w:shd w:val="clear" w:color="auto" w:fill="auto"/>
            <w:noWrap/>
            <w:vAlign w:val="center"/>
          </w:tcPr>
          <w:p w14:paraId="2142F3DE">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31.5</w:t>
            </w:r>
          </w:p>
        </w:tc>
        <w:tc>
          <w:tcPr>
            <w:tcW w:w="1209" w:type="dxa"/>
            <w:tcBorders>
              <w:tl2br w:val="nil"/>
              <w:tr2bl w:val="nil"/>
            </w:tcBorders>
            <w:shd w:val="clear" w:color="auto" w:fill="auto"/>
            <w:noWrap/>
            <w:vAlign w:val="center"/>
          </w:tcPr>
          <w:p w14:paraId="6028C3DD">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26.5</w:t>
            </w:r>
          </w:p>
        </w:tc>
        <w:tc>
          <w:tcPr>
            <w:tcW w:w="1137" w:type="dxa"/>
            <w:tcBorders>
              <w:tl2br w:val="nil"/>
              <w:tr2bl w:val="nil"/>
            </w:tcBorders>
            <w:shd w:val="clear" w:color="auto" w:fill="auto"/>
            <w:noWrap/>
            <w:vAlign w:val="center"/>
          </w:tcPr>
          <w:p w14:paraId="7EDB7D68">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19</w:t>
            </w:r>
          </w:p>
        </w:tc>
        <w:tc>
          <w:tcPr>
            <w:tcW w:w="1137" w:type="dxa"/>
            <w:tcBorders>
              <w:tl2br w:val="nil"/>
              <w:tr2bl w:val="nil"/>
            </w:tcBorders>
            <w:shd w:val="clear" w:color="auto" w:fill="auto"/>
            <w:noWrap/>
            <w:vAlign w:val="center"/>
          </w:tcPr>
          <w:p w14:paraId="5CFBD5EA">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16</w:t>
            </w:r>
          </w:p>
        </w:tc>
        <w:tc>
          <w:tcPr>
            <w:tcW w:w="1137" w:type="dxa"/>
            <w:tcBorders>
              <w:tl2br w:val="nil"/>
              <w:tr2bl w:val="nil"/>
            </w:tcBorders>
            <w:shd w:val="clear" w:color="auto" w:fill="auto"/>
            <w:noWrap/>
            <w:vAlign w:val="center"/>
          </w:tcPr>
          <w:p w14:paraId="28C92AD3">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9.5</w:t>
            </w:r>
          </w:p>
        </w:tc>
        <w:tc>
          <w:tcPr>
            <w:tcW w:w="1137" w:type="dxa"/>
            <w:tcBorders>
              <w:tl2br w:val="nil"/>
              <w:tr2bl w:val="nil"/>
            </w:tcBorders>
            <w:shd w:val="clear" w:color="auto" w:fill="auto"/>
            <w:noWrap/>
            <w:vAlign w:val="center"/>
          </w:tcPr>
          <w:p w14:paraId="22315612">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4.75</w:t>
            </w:r>
          </w:p>
        </w:tc>
        <w:tc>
          <w:tcPr>
            <w:tcW w:w="1143" w:type="dxa"/>
            <w:tcBorders>
              <w:tl2br w:val="nil"/>
              <w:tr2bl w:val="nil"/>
            </w:tcBorders>
            <w:shd w:val="clear" w:color="auto" w:fill="auto"/>
            <w:noWrap/>
            <w:vAlign w:val="center"/>
          </w:tcPr>
          <w:p w14:paraId="4973C2A1">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2.36</w:t>
            </w:r>
          </w:p>
        </w:tc>
      </w:tr>
      <w:tr w14:paraId="13E26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7" w:hRule="atLeast"/>
          <w:jc w:val="center"/>
        </w:trPr>
        <w:tc>
          <w:tcPr>
            <w:tcW w:w="1422" w:type="dxa"/>
            <w:tcBorders>
              <w:tl2br w:val="nil"/>
              <w:tr2bl w:val="nil"/>
            </w:tcBorders>
            <w:shd w:val="clear" w:color="auto" w:fill="auto"/>
            <w:noWrap/>
            <w:vAlign w:val="center"/>
          </w:tcPr>
          <w:p w14:paraId="3DDDAA0E">
            <w:pPr>
              <w:pStyle w:val="90"/>
              <w:rPr>
                <w:rFonts w:hint="eastAsia" w:ascii="宋体" w:hAnsi="宋体" w:eastAsia="宋体" w:cs="Times New Roman"/>
                <w:szCs w:val="24"/>
              </w:rPr>
            </w:pPr>
            <w:r>
              <w:rPr>
                <w:rFonts w:hint="eastAsia" w:ascii="宋体" w:hAnsi="宋体" w:eastAsia="宋体" w:cs="Times New Roman"/>
                <w:szCs w:val="24"/>
                <w:lang w:val="en-US" w:eastAsia="zh-CN"/>
              </w:rPr>
              <w:t>粗集料</w:t>
            </w:r>
          </w:p>
        </w:tc>
        <w:tc>
          <w:tcPr>
            <w:tcW w:w="1137" w:type="dxa"/>
            <w:tcBorders>
              <w:tl2br w:val="nil"/>
              <w:tr2bl w:val="nil"/>
            </w:tcBorders>
            <w:shd w:val="clear" w:color="auto" w:fill="auto"/>
            <w:noWrap/>
            <w:vAlign w:val="center"/>
          </w:tcPr>
          <w:p w14:paraId="58210C1B">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100</w:t>
            </w:r>
          </w:p>
        </w:tc>
        <w:tc>
          <w:tcPr>
            <w:tcW w:w="1209" w:type="dxa"/>
            <w:tcBorders>
              <w:tl2br w:val="nil"/>
              <w:tr2bl w:val="nil"/>
            </w:tcBorders>
            <w:shd w:val="clear" w:color="auto" w:fill="auto"/>
            <w:noWrap/>
            <w:vAlign w:val="center"/>
          </w:tcPr>
          <w:p w14:paraId="6372B028">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95～100</w:t>
            </w:r>
          </w:p>
        </w:tc>
        <w:tc>
          <w:tcPr>
            <w:tcW w:w="1137" w:type="dxa"/>
            <w:tcBorders>
              <w:tl2br w:val="nil"/>
              <w:tr2bl w:val="nil"/>
            </w:tcBorders>
            <w:shd w:val="clear" w:color="auto" w:fill="auto"/>
            <w:noWrap/>
            <w:vAlign w:val="center"/>
          </w:tcPr>
          <w:p w14:paraId="1BE9189C">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60～75</w:t>
            </w:r>
          </w:p>
        </w:tc>
        <w:tc>
          <w:tcPr>
            <w:tcW w:w="1137" w:type="dxa"/>
            <w:tcBorders>
              <w:tl2br w:val="nil"/>
              <w:tr2bl w:val="nil"/>
            </w:tcBorders>
            <w:shd w:val="clear" w:color="auto" w:fill="auto"/>
            <w:noWrap/>
            <w:vAlign w:val="center"/>
          </w:tcPr>
          <w:p w14:paraId="57AEF44B">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30～50</w:t>
            </w:r>
          </w:p>
        </w:tc>
        <w:tc>
          <w:tcPr>
            <w:tcW w:w="1137" w:type="dxa"/>
            <w:tcBorders>
              <w:tl2br w:val="nil"/>
              <w:tr2bl w:val="nil"/>
            </w:tcBorders>
            <w:shd w:val="clear" w:color="auto" w:fill="auto"/>
            <w:noWrap/>
            <w:vAlign w:val="center"/>
          </w:tcPr>
          <w:p w14:paraId="602720FF">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10～20</w:t>
            </w:r>
          </w:p>
        </w:tc>
        <w:tc>
          <w:tcPr>
            <w:tcW w:w="1137" w:type="dxa"/>
            <w:tcBorders>
              <w:tl2br w:val="nil"/>
              <w:tr2bl w:val="nil"/>
            </w:tcBorders>
            <w:shd w:val="clear" w:color="auto" w:fill="auto"/>
            <w:noWrap/>
            <w:vAlign w:val="center"/>
          </w:tcPr>
          <w:p w14:paraId="18D4F2B1">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0～10</w:t>
            </w:r>
          </w:p>
        </w:tc>
        <w:tc>
          <w:tcPr>
            <w:tcW w:w="1143" w:type="dxa"/>
            <w:tcBorders>
              <w:tl2br w:val="nil"/>
              <w:tr2bl w:val="nil"/>
            </w:tcBorders>
            <w:shd w:val="clear" w:color="auto" w:fill="auto"/>
            <w:noWrap/>
            <w:vAlign w:val="center"/>
          </w:tcPr>
          <w:p w14:paraId="03532822">
            <w:pPr>
              <w:pStyle w:val="90"/>
              <w:rPr>
                <w:rFonts w:hint="eastAsia" w:ascii="宋体" w:hAnsi="宋体" w:eastAsia="宋体" w:cs="Times New Roman"/>
                <w:szCs w:val="24"/>
                <w:lang w:val="en-US" w:eastAsia="zh-CN"/>
              </w:rPr>
            </w:pPr>
            <w:r>
              <w:rPr>
                <w:rFonts w:hint="eastAsia" w:ascii="宋体" w:hAnsi="宋体" w:eastAsia="宋体" w:cs="Times New Roman"/>
                <w:szCs w:val="24"/>
                <w:lang w:val="en-US" w:eastAsia="zh-CN"/>
              </w:rPr>
              <w:t>0～5</w:t>
            </w:r>
          </w:p>
        </w:tc>
      </w:tr>
    </w:tbl>
    <w:p w14:paraId="7BD84C5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3、细集料</w:t>
      </w:r>
    </w:p>
    <w:p w14:paraId="40EE1AC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细集料宜采用质地坚硬，细度模数在2.5以上，符合级配规定的洁净粗砂、中砂，砂的等级采用一级砂，砂的技术要求应符合《城镇道路工程施工与质量验收规范》表10.1.3中的相关要求。</w:t>
      </w:r>
    </w:p>
    <w:p w14:paraId="3EB5150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4、水</w:t>
      </w:r>
    </w:p>
    <w:p w14:paraId="3A61514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水应符合国家现行标准《混凝土用水标准》JGJ63的规定，建议采用自来水。</w:t>
      </w:r>
    </w:p>
    <w:p w14:paraId="19F0FF5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5、钢筋</w:t>
      </w:r>
    </w:p>
    <w:p w14:paraId="36E77B4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钢筋的品种、规格、成分，应符合国家现行标准和设计规定。钢筋不得有锈蚀、裂纹、断伤和刻痕等缺陷。</w:t>
      </w:r>
    </w:p>
    <w:p w14:paraId="3188D37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6、接缝</w:t>
      </w:r>
    </w:p>
    <w:p w14:paraId="68C1C03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纵缝：设计范围路面标准路段标准路面板块划分采用长×宽=5m×3.5m，纵缝间设置拉杆，间隔0.8m，拉杆采用Φ16螺纹钢筋，长0.7m，设在板厚中央，并应对拉杆中部10cm范围内进行防锈处理。纵向缩缝为设拉杆锯切槽缝的假缝，槽口深度4cm，宽度为8mm，最外侧的拉杆距横向接缝的距离不得小于100mm。</w:t>
      </w:r>
    </w:p>
    <w:p w14:paraId="69FC25D8">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横缝：横缝分为横向缩缝、横向施工缝、横向胀缝。横向缩缝间隔5m布设,采用设传力杆的假缝型式。横向缩缝顶部锯切槽口，深度为6cm，宽度为8mm，槽内填塞填缝料。缩缝传力杆采用Φ32光圆钢筋，长0.7m，间距0.3m,传力杆28cm范围内进行防锈处理。临近胀缝和自由端的三条横缝按设传力杆缩缝布置。横向施工缝，其位置尽可能设在缩缝或胀缝处。设在缩缝处的施工缝，应采用传力杆的假缝形式，传力杆要求同与其他缩缝传力杆要求。</w:t>
      </w:r>
    </w:p>
    <w:p w14:paraId="19FEA28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（3）横向胀缝：胀缝设置于路面厚度、宽度变化处或临近构造物处，胀缝设置传力杆，传力杆采用Φ32光圆钢筋，长0.7m，间距0.2m，采用Φ12支架钢筋和横向架立钢筋固定。</w:t>
      </w:r>
    </w:p>
    <w:p w14:paraId="5F707C98">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7、加强钢筋</w:t>
      </w:r>
    </w:p>
    <w:p w14:paraId="2CC5BE3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错缝和锐角板块的角隅处，配置发针型角隅钢筋补强。通常选用2根直径为14mm的光圆钢筋，置于面层上部，距顶面不小于50mm，距边缘为100mm。</w:t>
      </w:r>
    </w:p>
    <w:p w14:paraId="0E92F9B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8、胀缝接缝板选用泡沫橡胶板、沥青纤维板等,接缝填缝料采用乳化沥青类沥青、聚乙烯胶泥、橡胶类、沥青玛蹄脂及橡胶嵌缝条等填缝材料。</w:t>
      </w:r>
    </w:p>
    <w:p w14:paraId="58E5E8B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9、水泥混凝土28d龄期弯拉强度应大于</w:t>
      </w:r>
      <w:r>
        <w:rPr>
          <w:rFonts w:hint="eastAsia" w:asciiTheme="minorEastAsia" w:hAnsiTheme="minorEastAsia"/>
          <w:sz w:val="24"/>
          <w:lang w:val="en-US" w:eastAsia="zh-CN"/>
        </w:rPr>
        <w:t>4.5</w:t>
      </w:r>
      <w:r>
        <w:rPr>
          <w:rFonts w:hint="eastAsia" w:asciiTheme="minorEastAsia" w:hAnsiTheme="minorEastAsia"/>
          <w:sz w:val="24"/>
        </w:rPr>
        <w:t>MPa。路面刻痕或压痕纹理深度为1mm。</w:t>
      </w:r>
    </w:p>
    <w:p w14:paraId="6A839557">
      <w:pPr>
        <w:pStyle w:val="5"/>
      </w:pPr>
    </w:p>
    <w:p w14:paraId="16A14CCF">
      <w:pPr>
        <w:pStyle w:val="4"/>
        <w:spacing w:beforeLines="0" w:afterLines="0"/>
        <w:rPr>
          <w:rFonts w:asciiTheme="minorEastAsia" w:hAnsiTheme="minorEastAsia" w:eastAsiaTheme="minorEastAsia"/>
          <w:color w:val="auto"/>
        </w:rPr>
      </w:pPr>
      <w:bookmarkStart w:id="27" w:name="_Toc134264487"/>
      <w:bookmarkStart w:id="28" w:name="_Toc134264252"/>
      <w:bookmarkStart w:id="29" w:name="_Toc401906960"/>
      <w:bookmarkStart w:id="30" w:name="_Toc312612609"/>
      <w:r>
        <w:rPr>
          <w:rFonts w:hint="eastAsia" w:asciiTheme="minorEastAsia" w:hAnsiTheme="minorEastAsia" w:eastAsiaTheme="minorEastAsia"/>
          <w:color w:val="auto"/>
          <w:lang w:val="en-US" w:eastAsia="zh-CN"/>
        </w:rPr>
        <w:t>4</w:t>
      </w:r>
      <w:r>
        <w:rPr>
          <w:rFonts w:hint="eastAsia" w:asciiTheme="minorEastAsia" w:hAnsiTheme="minorEastAsia" w:eastAsiaTheme="minorEastAsia"/>
          <w:color w:val="auto"/>
        </w:rPr>
        <w:t xml:space="preserve"> </w:t>
      </w:r>
      <w:r>
        <w:rPr>
          <w:rFonts w:hint="eastAsia" w:asciiTheme="minorEastAsia" w:hAnsiTheme="minorEastAsia" w:eastAsiaTheme="minorEastAsia"/>
          <w:color w:val="auto"/>
          <w:lang w:eastAsia="zh-CN"/>
        </w:rPr>
        <w:t>道路</w:t>
      </w:r>
      <w:r>
        <w:rPr>
          <w:rFonts w:hint="eastAsia" w:asciiTheme="minorEastAsia" w:hAnsiTheme="minorEastAsia" w:eastAsiaTheme="minorEastAsia"/>
          <w:color w:val="auto"/>
        </w:rPr>
        <w:t>施工注意事项</w:t>
      </w:r>
      <w:bookmarkEnd w:id="27"/>
      <w:bookmarkEnd w:id="28"/>
      <w:bookmarkEnd w:id="29"/>
      <w:bookmarkEnd w:id="30"/>
    </w:p>
    <w:p w14:paraId="10B9E48B">
      <w:pPr>
        <w:pStyle w:val="6"/>
        <w:pageBreakBefore w:val="0"/>
        <w:kinsoku/>
        <w:wordWrap/>
        <w:overflowPunct/>
        <w:topLinePunct w:val="0"/>
        <w:bidi w:val="0"/>
        <w:spacing w:before="0" w:beforeAutospacing="0" w:after="0" w:afterAutospacing="0" w:line="360" w:lineRule="auto"/>
        <w:ind w:left="0" w:leftChars="0" w:firstLine="0" w:firstLineChars="0"/>
        <w:rPr>
          <w:rFonts w:hint="eastAsia" w:ascii="黑体" w:hAnsi="黑体" w:eastAsia="黑体" w:cs="黑体"/>
          <w:bCs/>
          <w:lang w:val="en-US" w:eastAsia="zh-CN"/>
        </w:rPr>
      </w:pPr>
      <w:bookmarkStart w:id="31" w:name="_Toc401906961"/>
      <w:bookmarkStart w:id="32" w:name="_Toc134264253"/>
      <w:bookmarkStart w:id="33" w:name="_Toc301187543"/>
      <w:bookmarkStart w:id="34" w:name="_Toc134264488"/>
      <w:bookmarkStart w:id="35" w:name="_Toc312612610"/>
      <w:r>
        <w:rPr>
          <w:rFonts w:hint="eastAsia" w:asciiTheme="minorEastAsia" w:hAnsiTheme="minorEastAsia" w:eastAsiaTheme="minorEastAsia"/>
          <w:lang w:val="en-US" w:eastAsia="zh-CN"/>
        </w:rPr>
        <w:t>4</w:t>
      </w:r>
      <w:r>
        <w:rPr>
          <w:rFonts w:hint="eastAsia" w:asciiTheme="minorEastAsia" w:hAnsiTheme="minorEastAsia" w:eastAsiaTheme="minorEastAsia"/>
        </w:rPr>
        <w:t>.1</w:t>
      </w:r>
      <w:bookmarkEnd w:id="31"/>
      <w:bookmarkEnd w:id="32"/>
      <w:bookmarkEnd w:id="33"/>
      <w:bookmarkEnd w:id="34"/>
      <w:bookmarkEnd w:id="35"/>
      <w:bookmarkStart w:id="36" w:name="_Toc866"/>
      <w:bookmarkStart w:id="37" w:name="_Toc21104"/>
      <w:bookmarkStart w:id="38" w:name="_Toc32715"/>
      <w:r>
        <w:rPr>
          <w:rFonts w:hint="eastAsia" w:ascii="黑体" w:hAnsi="黑体" w:eastAsia="黑体" w:cs="黑体"/>
          <w:bCs/>
          <w:lang w:val="en-US" w:eastAsia="zh-CN"/>
        </w:rPr>
        <w:t>施工技术要求及注意事项</w:t>
      </w:r>
      <w:bookmarkEnd w:id="36"/>
      <w:bookmarkEnd w:id="37"/>
      <w:bookmarkEnd w:id="38"/>
    </w:p>
    <w:p w14:paraId="5DEE7D93">
      <w:pPr>
        <w:snapToGrid w:val="0"/>
        <w:spacing w:line="360" w:lineRule="auto"/>
        <w:ind w:firstLine="475" w:firstLineChars="197"/>
        <w:rPr>
          <w:rFonts w:hint="eastAsia" w:asciiTheme="minorEastAsia" w:hAnsiTheme="minorEastAsia"/>
          <w:b/>
          <w:sz w:val="24"/>
          <w:lang w:val="en-US" w:eastAsia="zh-CN"/>
        </w:rPr>
      </w:pPr>
      <w:bookmarkStart w:id="39" w:name="_Toc401906962"/>
      <w:bookmarkStart w:id="40" w:name="_Toc301187544"/>
      <w:bookmarkStart w:id="41" w:name="_Toc8638409"/>
      <w:bookmarkStart w:id="42" w:name="_Toc7056"/>
      <w:bookmarkStart w:id="43" w:name="_Toc14741"/>
      <w:r>
        <w:rPr>
          <w:rFonts w:hint="eastAsia" w:asciiTheme="minorEastAsia" w:hAnsiTheme="minorEastAsia"/>
          <w:b/>
          <w:sz w:val="24"/>
          <w:lang w:val="en-US" w:eastAsia="zh-CN"/>
        </w:rPr>
        <w:t>4.1.1施工准备</w:t>
      </w:r>
      <w:bookmarkEnd w:id="39"/>
      <w:bookmarkEnd w:id="40"/>
      <w:bookmarkEnd w:id="41"/>
      <w:bookmarkEnd w:id="42"/>
      <w:bookmarkEnd w:id="43"/>
    </w:p>
    <w:p w14:paraId="12692F43">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1、开工前施工单位应全面熟悉设计文件，在设计交底的基础上进行现</w:t>
      </w:r>
      <w:r>
        <w:rPr>
          <w:rFonts w:hint="eastAsia" w:asciiTheme="minorEastAsia" w:hAnsiTheme="minorEastAsia"/>
          <w:kern w:val="0"/>
          <w:sz w:val="24"/>
          <w:lang w:val="zh-CN" w:eastAsia="zh-CN"/>
        </w:rPr>
        <mc:AlternateContent>
          <mc:Choice Requires="wps">
            <w:drawing>
              <wp:anchor distT="0" distB="0" distL="114300" distR="114300" simplePos="0" relativeHeight="251669504" behindDoc="0" locked="0" layoutInCell="1" allowOverlap="1">
                <wp:simplePos x="0" y="0"/>
                <wp:positionH relativeFrom="column">
                  <wp:posOffset>8546465</wp:posOffset>
                </wp:positionH>
                <wp:positionV relativeFrom="paragraph">
                  <wp:posOffset>1287145</wp:posOffset>
                </wp:positionV>
                <wp:extent cx="648970" cy="485140"/>
                <wp:effectExtent l="0" t="0" r="0" b="0"/>
                <wp:wrapNone/>
                <wp:docPr id="35" name="矩形 35"/>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D4204C8">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101.35pt;height:38.2pt;width:51.1pt;z-index:251669504;v-text-anchor:middle;mso-width-relative:page;mso-height-relative:page;" filled="f" stroked="f" coordsize="21600,21600" o:gfxdata="UEsDBAoAAAAAAIdO4kAAAAAAAAAAAAAAAAAEAAAAZHJzL1BLAwQUAAAACACHTuJAlRcTHdsAAAAN&#10;AQAADwAAAGRycy9kb3ducmV2LnhtbE2PwU7DMAyG70i8Q2QkbixtKWwrTacJAdKOW5HQbmnjtYXG&#10;qZqs294e7wTH3/70+3O+OtteTDj6zpGCeBaBQKqd6ahR8Fm+PyxA+KDJ6N4RKrigh1Vxe5PrzLgT&#10;bXHahUZwCflMK2hDGDIpfd2i1X7mBiTeHdxodeA4NtKM+sTltpdJFD1LqzviC60e8LXF+md3tAp8&#10;NW3Ky7D++t77ulq/kS3TzYdS93dx9AIi4Dn8wXDVZ3Uo2KlyRzJe9Jwf06clswqSKJmDuCJpuohB&#10;VDyaL2OQRS7/f1H8AlBLAwQUAAAACACHTuJAc45+ilMCAACXBAAADgAAAGRycy9lMm9Eb2MueG1s&#10;rVRLbtswEN0X6B0I7hvZrp2PETkwYqQoEDQB0qJrmiItAvyVpC2nlynQXQ/R4xS9Rh8pJTHSLrLo&#10;RprhjN7wvZnR+cXeaLITISpnazo+GlEiLHeNspuafvp49eaUkpiYbZh2VtT0XkR6sXj96rzzczFx&#10;rdONCAQgNs47X9M2JT+vqshbYVg8cl5YBKULhiW4YVM1gXVAN7qajEbHVedC44PjIkacrvogHRDD&#10;SwCdlIqLleNbI2zqUYPQLIFSbJWPdFFuK6Xg6UbKKBLRNQXTVJ4oAnudn9XinM03gflW8eEK7CVX&#10;eMbJMGVR9BFqxRIj26D+gjKKBxedTEfcmaonUhQBi/HomTZ3LfOicIHU0T+KHv8fLP+wuw1ENTV9&#10;O6PEMoOO//7249fP7wQHUKfzcY6kO38bBi/CzFT3Mpj8BgmyL4rePyoq9olwHB5PT89OoDVHaHo6&#10;G0+L4tXTxz7E9E44Q7JR04CGFR3Z7jomFETqQ0quZd2V0ro0TVvS1XQym44yPsMkSkwATOPBJtoN&#10;JUxvMOI8hQJ58G2GXLHYkh3DXESnVZO5opi2eGXOPctspf16P1Bfu+YecgXXz1H0/EoB6prFdMsC&#10;BgdXwWqlGzykdrifGyxKWhe+/us856OfiFLSYRBxny9bFgQl+r1Fp8/GU6hGUnGms5MJnHAYWR9G&#10;7NZcOnAaY4k9L2bOT/rBlMGZz9jAZa6KELMctXuVBucy9QuCHeZiuSxpmFbP0rW98zyD971YbpOT&#10;qrQpC9WrM+iHeS2CDruVF+LQL1lP/5PF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JUXEx3bAAAA&#10;DQEAAA8AAAAAAAAAAQAgAAAAIgAAAGRycy9kb3ducmV2LnhtbFBLAQIUABQAAAAIAIdO4kBzjn6K&#10;UwIAAJcEAAAOAAAAAAAAAAEAIAAAACoBAABkcnMvZTJvRG9jLnhtbFBLBQYAAAAABgAGAFkBAADv&#10;BQAAAAA=&#10;">
                <v:fill on="f" focussize="0,0"/>
                <v:stroke on="f" weight="2pt"/>
                <v:imagedata o:title=""/>
                <o:lock v:ext="edit" aspectratio="f"/>
                <v:textbox>
                  <w:txbxContent>
                    <w:p w14:paraId="4D4204C8">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r>
        <w:rPr>
          <w:rFonts w:hint="eastAsia" w:asciiTheme="minorEastAsia" w:hAnsiTheme="minorEastAsia"/>
          <w:sz w:val="24"/>
        </w:rPr>
        <w:t>场核对和施工调查，发现问题及时通过业主与设计单位取得联系。</w:t>
      </w:r>
      <w:r>
        <w:rPr>
          <w:rFonts w:hint="eastAsia" w:asciiTheme="minorEastAsia" w:hAnsiTheme="minorEastAsia"/>
          <w:kern w:val="0"/>
          <w:sz w:val="24"/>
          <w:lang w:val="zh-CN" w:eastAsia="zh-CN"/>
        </w:rPr>
        <mc:AlternateContent>
          <mc:Choice Requires="wps">
            <w:drawing>
              <wp:anchor distT="0" distB="0" distL="114300" distR="114300" simplePos="0" relativeHeight="251677696" behindDoc="0" locked="0" layoutInCell="1" allowOverlap="1">
                <wp:simplePos x="0" y="0"/>
                <wp:positionH relativeFrom="column">
                  <wp:posOffset>1289050</wp:posOffset>
                </wp:positionH>
                <wp:positionV relativeFrom="paragraph">
                  <wp:posOffset>1155065</wp:posOffset>
                </wp:positionV>
                <wp:extent cx="2213610" cy="511810"/>
                <wp:effectExtent l="0" t="0" r="0" b="0"/>
                <wp:wrapNone/>
                <wp:docPr id="43" name="矩形 43"/>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20BF6E2">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2725D7D">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90.95pt;height:40.3pt;width:174.3pt;z-index:251677696;v-text-anchor:middle;mso-width-relative:page;mso-height-relative:page;" filled="f" stroked="f" coordsize="21600,21600" o:gfxdata="UEsDBAoAAAAAAIdO4kAAAAAAAAAAAAAAAAAEAAAAZHJzL1BLAwQUAAAACACHTuJAlihlgNkAAAAL&#10;AQAADwAAAGRycy9kb3ducmV2LnhtbE2PwU7DMBBE70j8g7VI3KidQKIS4lQVAqQeaZAQNydekkC8&#10;jmI3bf+e5QTH1RvNvik3JzeKBecweNKQrBQIpNbbgToNb/XzzRpEiIasGT2hhjMG2FSXF6UprD/S&#10;Ky772AkuoVAYDX2MUyFlaHt0Jqz8hMTs08/ORD7nTtrZHLncjTJVKpfODMQfejPhY4/t9/7gNIRm&#10;2dXnafv+9RHaZvtErr7bvWh9fZWoBxART/EvDL/6rA4VOzX+QDaIUUOqbnlLZLBO7kFwIsuSHETD&#10;KE8zkFUp/2+ofgBQSwMEFAAAAAgAh07iQJEYW15RAgAAmAQAAA4AAABkcnMvZTJvRG9jLnhtbK1U&#10;zW4TMRC+I/EOlu90s2laStRNFTUqQqqgUkGcHa+dteQ/bCeb8jJI3HgIHgfxGnz2btuocOiBizPj&#10;mf083zczOb/YG012IkTlbEProwklwnLXKrtp6KePV6/OKImJ2ZZpZ0VD70SkF4uXL857PxdT1znd&#10;ikAAYuO89w3tUvLzqoq8E4bFI+eFRVC6YFiCGzZVG1gPdKOr6WRyWvUutD44LmLE7WoI0hExPAfQ&#10;Sam4WDm+NcKmATUIzRIoxU75SBelWikFTx+kjCIR3VAwTeXEI7DX+awW52y+Ccx3io8lsOeU8IST&#10;Ycri0QeoFUuMbIP6C8ooHlx0Mh1xZ6qBSFEELOrJE21uO+ZF4QKpo38QPf4/WP5+dxOIahs6O6bE&#10;MoOO//7249fP7wQXUKf3cY6kW38TRi/CzFT3Mpj8CxJkXxS9e1BU7BPhuJxO6+PTGmJzxE7q+gw2&#10;YKrHr32I6a1whmSjoQEdK0Ky3XVMQ+p9Sn7MuiulNe7ZXFvS44WT2STjM4yixAjANB50ot1QwvQG&#10;M85TKJAH32bIFYsd2TEMRnRatWNd2qK8THqgma20X+9H7mvX3kGv4IZBip5fKUBds5huWMDkoBTs&#10;VvqAQ2qH+txoUdK58PVf9zkfDUWUkh6TiHq+bFkQlOh3Fq1+U89mgE3FmZ28nsIJh5H1YcRuzaUD&#10;pxpb7Hkxc37S96YMznzGCi7zqwgxy/H2oNLoXKZhQ7DEXCyXJQ3j6lm6treeZ/ChF8ttclKVNmWh&#10;BnVG/TCwpdHjcuWNOPRL1uMfyu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lihlgNkAAAALAQAA&#10;DwAAAAAAAAABACAAAAAiAAAAZHJzL2Rvd25yZXYueG1sUEsBAhQAFAAAAAgAh07iQJEYW15RAgAA&#10;mAQAAA4AAAAAAAAAAQAgAAAAKAEAAGRycy9lMm9Eb2MueG1sUEsFBgAAAAAGAAYAWQEAAOsFAAAA&#10;AA==&#10;">
                <v:fill on="f" focussize="0,0"/>
                <v:stroke on="f" weight="2pt"/>
                <v:imagedata o:title=""/>
                <o:lock v:ext="edit" aspectratio="f"/>
                <v:textbox>
                  <w:txbxContent>
                    <w:p w14:paraId="020BF6E2">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2725D7D">
                      <w:pPr>
                        <w:jc w:val="center"/>
                        <w:rPr>
                          <w:color w:val="000000" w:themeColor="text1"/>
                          <w:sz w:val="28"/>
                          <w:szCs w:val="28"/>
                          <w14:textFill>
                            <w14:solidFill>
                              <w14:schemeClr w14:val="tx1"/>
                            </w14:solidFill>
                          </w14:textFill>
                        </w:rPr>
                      </w:pPr>
                    </w:p>
                  </w:txbxContent>
                </v:textbox>
              </v:rect>
            </w:pict>
          </mc:Fallback>
        </mc:AlternateContent>
      </w:r>
    </w:p>
    <w:p w14:paraId="3816042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道路施工前应全面的调查现状地下各类管线及结构物等的规格、位置、覆土，以避免施工过程中对既有管线的破坏。调查地下管线的准确位置应检验核实，并与管线单位结合，请他们现场监护，当地下管线不能迁移且覆土浅时，要采取必要的安全措施，保证人员安全及管线的正常使用。要拆迁的管线，要与业主同各管线单位统一协调处理。</w:t>
      </w:r>
    </w:p>
    <w:p w14:paraId="49AE39B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3、施工前应彻底清除路表腐殖土，并在填筑前进行压实。路基范围内管道沟槽、污水坑等地，回填土的压实度不得低于所规定的路基压实度的要求。</w:t>
      </w:r>
    </w:p>
    <w:p w14:paraId="5696553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4、施工前应先查对、复合导线点和水准点等桩志和有关测量资料，发现有桩志不足、不妥、位置移动或精度与要求不符，均需进行补测、加固，并及时与设计单位取得联系。</w:t>
      </w:r>
    </w:p>
    <w:p w14:paraId="4AC674B2">
      <w:pPr>
        <w:snapToGrid w:val="0"/>
        <w:spacing w:line="360" w:lineRule="auto"/>
        <w:ind w:firstLine="475" w:firstLineChars="197"/>
        <w:rPr>
          <w:rFonts w:hint="eastAsia" w:asciiTheme="minorEastAsia" w:hAnsiTheme="minorEastAsia"/>
          <w:b/>
          <w:sz w:val="24"/>
          <w:lang w:val="en-US" w:eastAsia="zh-CN"/>
        </w:rPr>
      </w:pPr>
      <w:bookmarkStart w:id="44" w:name="_Toc301187545"/>
      <w:bookmarkStart w:id="45" w:name="_Toc8638410"/>
      <w:bookmarkStart w:id="46" w:name="_Toc3022"/>
      <w:bookmarkStart w:id="47" w:name="_Toc401906963"/>
      <w:bookmarkStart w:id="48" w:name="_Toc32627"/>
      <w:r>
        <w:rPr>
          <w:rFonts w:hint="eastAsia" w:asciiTheme="minorEastAsia" w:hAnsiTheme="minorEastAsia"/>
          <w:b/>
          <w:sz w:val="24"/>
          <w:lang w:val="en-US" w:eastAsia="zh-CN"/>
        </w:rPr>
        <w:t>4.1.2施工要求</w:t>
      </w:r>
      <w:bookmarkEnd w:id="44"/>
      <w:bookmarkEnd w:id="45"/>
      <w:bookmarkEnd w:id="46"/>
      <w:bookmarkEnd w:id="47"/>
      <w:bookmarkEnd w:id="48"/>
    </w:p>
    <w:p w14:paraId="3D4F650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3.1.2.1</w:t>
      </w:r>
      <w:r>
        <w:rPr>
          <w:rFonts w:hint="eastAsia" w:asciiTheme="minorEastAsia" w:hAnsiTheme="minorEastAsia"/>
          <w:sz w:val="24"/>
        </w:rPr>
        <w:t>路基施工要求</w:t>
      </w:r>
    </w:p>
    <w:p w14:paraId="5FA2F36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路基开挖不得乱挖、超挖，开挖中发现有未曾查明的地下设施及地质情况有变化时，应及时通知建设单位、设计单位及监理处理，临近现有建筑物及桥涵的开挖应注意观测和防护，确保建（构）筑物稳定及施工安全。</w:t>
      </w:r>
    </w:p>
    <w:p w14:paraId="1BC8E6D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2、必须对道路中线、纵断、横断进行复测，拆建路基范围内的既有障碍物，并先做好截、排水沟等措施。</w:t>
      </w:r>
    </w:p>
    <w:p w14:paraId="5BBB6E4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零填及路堑路床≥96%压实度的深度加厚至80cm，当其路床土的塑性指数大于12、液限大于32%的粘土或最小强度达不到要求时，应采取换填或土质改良措施；当土的液限大于50%、塑性指数大于26时不得直接作为路堤填料；严禁采用强膨胀土、淤泥和有机土填筑路堤。</w:t>
      </w:r>
    </w:p>
    <w:p w14:paraId="392103F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4、路基填土应严格控制，分层填筑，分层碾压，每层松铺厚度不大于30cm，压实宽度应每侧宽出路床20cm。</w:t>
      </w:r>
    </w:p>
    <w:p w14:paraId="70CEF64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5、路基基底处理路段，必须将杂填土、耕植土、淤泥及淤泥质土按设计深度全部清除，然后回填指定土质压实。</w:t>
      </w:r>
    </w:p>
    <w:p w14:paraId="1149919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6、路基压实控制在最佳含水量时进行，路基土方完成后，沿线按规范要求做回弹模量或回弹弯沉试验，达到设计要求后，方可进行下一道工序。</w:t>
      </w:r>
    </w:p>
    <w:p w14:paraId="41D149A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3.1.2.2</w:t>
      </w:r>
      <w:r>
        <w:rPr>
          <w:rFonts w:hint="eastAsia" w:asciiTheme="minorEastAsia" w:hAnsiTheme="minorEastAsia"/>
          <w:sz w:val="24"/>
        </w:rPr>
        <w:t>路面施工要求</w:t>
      </w:r>
    </w:p>
    <w:p w14:paraId="6ABC58B8">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w:t>
      </w:r>
      <w:r>
        <w:rPr>
          <w:rFonts w:hint="eastAsia" w:asciiTheme="minorEastAsia" w:hAnsiTheme="minorEastAsia"/>
          <w:sz w:val="24"/>
          <w:lang w:val="en-US" w:eastAsia="zh-CN"/>
        </w:rPr>
        <w:t>水泥</w:t>
      </w:r>
      <w:r>
        <w:rPr>
          <w:rFonts w:hint="eastAsia" w:asciiTheme="minorEastAsia" w:hAnsiTheme="minorEastAsia"/>
          <w:sz w:val="24"/>
        </w:rPr>
        <w:t>混凝土面层施工技术</w:t>
      </w:r>
    </w:p>
    <w:p w14:paraId="1F378A8E">
      <w:pPr>
        <w:widowControl/>
        <w:spacing w:line="360" w:lineRule="auto"/>
        <w:ind w:firstLine="480" w:firstLineChars="200"/>
        <w:rPr>
          <w:rFonts w:hint="default" w:asciiTheme="minorEastAsia" w:hAnsiTheme="minorEastAsia"/>
          <w:sz w:val="24"/>
          <w:lang w:val="en-US" w:eastAsia="zh-CN"/>
        </w:rPr>
      </w:pPr>
      <w:r>
        <w:rPr>
          <w:rFonts w:hint="eastAsia" w:asciiTheme="minorEastAsia" w:hAnsiTheme="minorEastAsia"/>
          <w:sz w:val="24"/>
        </w:rPr>
        <w:t>（1）</w:t>
      </w:r>
      <w:r>
        <w:rPr>
          <w:rFonts w:hint="eastAsia" w:asciiTheme="minorEastAsia" w:hAnsiTheme="minorEastAsia"/>
          <w:sz w:val="24"/>
          <w:lang w:val="en-US" w:eastAsia="zh-CN"/>
        </w:rPr>
        <w:t>施工准备</w:t>
      </w:r>
    </w:p>
    <w:p w14:paraId="698157E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施工前，应按设计规定划分混凝土板块，板块划分应从路口开始，必须避免出现锐角。曲线段分块，应使横向分块线与该点法线方向一致。直线段分块线应与面层胀、缩结合，分块距离宜均匀。分块线距检查井盖的边缘，宜大于1m。</w:t>
      </w:r>
    </w:p>
    <w:p w14:paraId="78FB5AE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混凝土摊铺前，应完成下列准备工作:</w:t>
      </w:r>
    </w:p>
    <w:p w14:paraId="25308B4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w:t>
      </w:r>
      <w:r>
        <w:rPr>
          <w:rFonts w:hint="eastAsia" w:asciiTheme="minorEastAsia" w:hAnsiTheme="minorEastAsia"/>
          <w:sz w:val="24"/>
          <w:lang w:eastAsia="zh-CN"/>
        </w:rPr>
        <w:t>）</w:t>
      </w:r>
      <w:r>
        <w:rPr>
          <w:rFonts w:hint="eastAsia" w:asciiTheme="minorEastAsia" w:hAnsiTheme="minorEastAsia"/>
          <w:sz w:val="24"/>
        </w:rPr>
        <w:t>混凝土施工配合比已获监理工程师批准，搅拌站经试运转，确认合格。</w:t>
      </w:r>
    </w:p>
    <w:p w14:paraId="715C88D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2）</w:t>
      </w:r>
      <w:r>
        <w:rPr>
          <w:rFonts w:hint="eastAsia" w:asciiTheme="minorEastAsia" w:hAnsiTheme="minorEastAsia"/>
          <w:sz w:val="24"/>
        </w:rPr>
        <w:t>模板支设完毕，检验合格。</w:t>
      </w:r>
    </w:p>
    <w:p w14:paraId="75F2125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w:t>
      </w:r>
      <w:r>
        <w:rPr>
          <w:rFonts w:hint="eastAsia" w:asciiTheme="minorEastAsia" w:hAnsiTheme="minorEastAsia"/>
          <w:sz w:val="24"/>
        </w:rPr>
        <w:t>混凝土摊铺、养护、成形等机具试运行合格。专用器材已准备就绪。</w:t>
      </w:r>
    </w:p>
    <w:p w14:paraId="60C5875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4）</w:t>
      </w:r>
      <w:r>
        <w:rPr>
          <w:rFonts w:hint="eastAsia" w:asciiTheme="minorEastAsia" w:hAnsiTheme="minorEastAsia"/>
          <w:sz w:val="24"/>
        </w:rPr>
        <w:t>运输与现场浇筑通道已修筑，且符合要求。</w:t>
      </w:r>
    </w:p>
    <w:p w14:paraId="4BB3F97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w:t>
      </w:r>
      <w:r>
        <w:rPr>
          <w:rFonts w:hint="eastAsia" w:asciiTheme="minorEastAsia" w:hAnsiTheme="minorEastAsia"/>
          <w:sz w:val="24"/>
          <w:lang w:val="en-US" w:eastAsia="zh-CN"/>
        </w:rPr>
        <w:t>水泥混凝土</w:t>
      </w:r>
      <w:r>
        <w:rPr>
          <w:rFonts w:hint="eastAsia" w:asciiTheme="minorEastAsia" w:hAnsiTheme="minorEastAsia"/>
          <w:sz w:val="24"/>
        </w:rPr>
        <w:t>的</w:t>
      </w:r>
      <w:r>
        <w:rPr>
          <w:rFonts w:hint="eastAsia" w:asciiTheme="minorEastAsia" w:hAnsiTheme="minorEastAsia"/>
          <w:sz w:val="24"/>
          <w:lang w:val="en-US" w:eastAsia="zh-CN"/>
        </w:rPr>
        <w:t>搅拌与</w:t>
      </w:r>
      <w:r>
        <w:rPr>
          <w:rFonts w:hint="eastAsia" w:asciiTheme="minorEastAsia" w:hAnsiTheme="minorEastAsia"/>
          <w:sz w:val="24"/>
        </w:rPr>
        <w:t>运输</w:t>
      </w:r>
    </w:p>
    <w:p w14:paraId="342EC64D">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1）面层用混凝土宜选择具备资质、混凝土质量稳定的搅拌</w:t>
      </w:r>
      <w:r>
        <w:rPr>
          <w:rFonts w:hint="eastAsia" w:asciiTheme="minorEastAsia" w:hAnsiTheme="minorEastAsia"/>
          <w:sz w:val="24"/>
          <w:lang w:val="en-US" w:eastAsia="zh-CN"/>
        </w:rPr>
        <w:t>站</w:t>
      </w:r>
      <w:r>
        <w:rPr>
          <w:rFonts w:hint="eastAsia" w:asciiTheme="minorEastAsia" w:hAnsiTheme="minorEastAsia"/>
          <w:sz w:val="24"/>
        </w:rPr>
        <w:t>。</w:t>
      </w:r>
    </w:p>
    <w:p w14:paraId="27262F6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2）施工中应根据运距、混凝土搅拌能力、摊铺能力确定运输车辆的数量与配置。不同摊铺工艺的混凝土搅拌物从搅拌机出料到运输、铺筑完毕的允许最长时间应符合《城镇道路工程施工与质量验收规范》</w:t>
      </w:r>
      <w:r>
        <w:rPr>
          <w:rFonts w:hint="eastAsia" w:asciiTheme="minorEastAsia" w:hAnsiTheme="minorEastAsia"/>
          <w:sz w:val="24"/>
          <w:lang w:val="en-US" w:eastAsia="zh-CN"/>
        </w:rPr>
        <w:t>(</w:t>
      </w:r>
      <w:r>
        <w:rPr>
          <w:rFonts w:hint="eastAsia" w:asciiTheme="minorEastAsia" w:hAnsiTheme="minorEastAsia"/>
          <w:sz w:val="24"/>
        </w:rPr>
        <w:t>CJJ1-2008</w:t>
      </w:r>
      <w:r>
        <w:rPr>
          <w:rFonts w:hint="eastAsia" w:asciiTheme="minorEastAsia" w:hAnsiTheme="minorEastAsia"/>
          <w:sz w:val="24"/>
          <w:lang w:val="en-US" w:eastAsia="zh-CN"/>
        </w:rPr>
        <w:t>)</w:t>
      </w:r>
      <w:r>
        <w:rPr>
          <w:rFonts w:hint="eastAsia" w:asciiTheme="minorEastAsia" w:hAnsiTheme="minorEastAsia"/>
          <w:sz w:val="24"/>
        </w:rPr>
        <w:t>表10.5.5的规定。</w:t>
      </w:r>
    </w:p>
    <w:p w14:paraId="162B9E1B">
      <w:pPr>
        <w:widowControl/>
        <w:spacing w:line="360" w:lineRule="auto"/>
        <w:ind w:firstLine="480" w:firstLineChars="200"/>
        <w:rPr>
          <w:rFonts w:hint="default" w:asciiTheme="minorEastAsia" w:hAnsiTheme="minorEastAsia"/>
          <w:sz w:val="24"/>
          <w:lang w:val="en-US" w:eastAsia="zh-CN"/>
        </w:rPr>
      </w:pPr>
      <w:r>
        <w:rPr>
          <w:rFonts w:hint="eastAsia" w:asciiTheme="minorEastAsia" w:hAnsiTheme="minorEastAsia"/>
          <w:sz w:val="24"/>
        </w:rPr>
        <w:t>（3）</w:t>
      </w:r>
      <w:r>
        <w:rPr>
          <w:rFonts w:hint="eastAsia" w:asciiTheme="minorEastAsia" w:hAnsiTheme="minorEastAsia"/>
          <w:sz w:val="24"/>
          <w:lang w:val="en-US" w:eastAsia="zh-CN"/>
        </w:rPr>
        <w:t>水泥混凝土</w:t>
      </w:r>
      <w:r>
        <w:rPr>
          <w:rFonts w:hint="eastAsia" w:asciiTheme="minorEastAsia" w:hAnsiTheme="minorEastAsia"/>
          <w:sz w:val="24"/>
        </w:rPr>
        <w:t>的摊铺</w:t>
      </w:r>
      <w:r>
        <w:rPr>
          <w:rFonts w:hint="eastAsia" w:asciiTheme="minorEastAsia" w:hAnsiTheme="minorEastAsia"/>
          <w:sz w:val="24"/>
          <w:lang w:val="en-US" w:eastAsia="zh-CN"/>
        </w:rPr>
        <w:t>准备工作</w:t>
      </w:r>
    </w:p>
    <w:p w14:paraId="4CAF488E">
      <w:pPr>
        <w:widowControl/>
        <w:spacing w:line="360" w:lineRule="auto"/>
        <w:ind w:firstLine="480" w:firstLineChars="200"/>
        <w:rPr>
          <w:rFonts w:hint="eastAsia" w:asciiTheme="minorEastAsia" w:hAnsiTheme="minorEastAsia"/>
          <w:sz w:val="24"/>
          <w:lang w:eastAsia="zh-CN"/>
        </w:rPr>
      </w:pPr>
      <w:r>
        <w:rPr>
          <w:rFonts w:hint="eastAsia" w:asciiTheme="minorEastAsia" w:hAnsiTheme="minorEastAsia"/>
          <w:sz w:val="24"/>
        </w:rPr>
        <w:t>1）基层或砂垫层表面、模板位置、高程等符合设计要求模板支撑接缝严密、模内洁净、隔离剂涂刷均匀</w:t>
      </w:r>
      <w:r>
        <w:rPr>
          <w:rFonts w:hint="eastAsia" w:asciiTheme="minorEastAsia" w:hAnsiTheme="minorEastAsia"/>
          <w:sz w:val="24"/>
          <w:lang w:val="en-US" w:eastAsia="zh-CN"/>
        </w:rPr>
        <w:t>;</w:t>
      </w:r>
    </w:p>
    <w:p w14:paraId="0296AC5D">
      <w:pPr>
        <w:widowControl/>
        <w:spacing w:line="360" w:lineRule="auto"/>
        <w:ind w:firstLine="480" w:firstLineChars="200"/>
        <w:rPr>
          <w:rFonts w:hint="eastAsia" w:asciiTheme="minorEastAsia" w:hAnsiTheme="minorEastAsia"/>
          <w:sz w:val="24"/>
          <w:lang w:val="en-US" w:eastAsia="zh-CN"/>
        </w:rPr>
      </w:pPr>
      <w:r>
        <w:rPr>
          <w:rFonts w:hint="eastAsia" w:asciiTheme="minorEastAsia" w:hAnsiTheme="minorEastAsia"/>
          <w:sz w:val="24"/>
          <w:lang w:val="en-US" w:eastAsia="zh-CN"/>
        </w:rPr>
        <w:t>2）</w:t>
      </w:r>
      <w:r>
        <w:rPr>
          <w:rFonts w:hint="eastAsia" w:asciiTheme="minorEastAsia" w:hAnsiTheme="minorEastAsia"/>
          <w:sz w:val="24"/>
        </w:rPr>
        <w:t>钢筋、预埋胀缝板的位置正确，传力杆等安装符合要求</w:t>
      </w:r>
      <w:r>
        <w:rPr>
          <w:rFonts w:hint="eastAsia" w:asciiTheme="minorEastAsia" w:hAnsiTheme="minorEastAsia"/>
          <w:sz w:val="24"/>
          <w:lang w:val="en-US" w:eastAsia="zh-CN"/>
        </w:rPr>
        <w:t>;</w:t>
      </w:r>
    </w:p>
    <w:p w14:paraId="654EE2A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w:t>
      </w:r>
      <w:r>
        <w:rPr>
          <w:rFonts w:hint="eastAsia" w:asciiTheme="minorEastAsia" w:hAnsiTheme="minorEastAsia"/>
          <w:sz w:val="24"/>
        </w:rPr>
        <w:t>混凝土搅拌、运输与摊铺设备，状况良好。</w:t>
      </w:r>
    </w:p>
    <w:p w14:paraId="3895E11E">
      <w:pPr>
        <w:widowControl/>
        <w:spacing w:line="360" w:lineRule="auto"/>
        <w:ind w:firstLine="480" w:firstLineChars="200"/>
        <w:rPr>
          <w:rFonts w:hint="eastAsia" w:asciiTheme="minorEastAsia" w:hAnsiTheme="minorEastAsia"/>
          <w:sz w:val="24"/>
          <w:lang w:val="en-US" w:eastAsia="zh-CN"/>
        </w:rPr>
      </w:pPr>
      <w:r>
        <w:rPr>
          <w:rFonts w:hint="eastAsia" w:asciiTheme="minorEastAsia" w:hAnsiTheme="minorEastAsia"/>
          <w:sz w:val="24"/>
        </w:rPr>
        <w:t>（</w:t>
      </w:r>
      <w:r>
        <w:rPr>
          <w:rFonts w:hint="eastAsia" w:asciiTheme="minorEastAsia" w:hAnsiTheme="minorEastAsia"/>
          <w:sz w:val="24"/>
          <w:lang w:val="en-US" w:eastAsia="zh-CN"/>
        </w:rPr>
        <w:t>4</w:t>
      </w:r>
      <w:r>
        <w:rPr>
          <w:rFonts w:hint="eastAsia" w:asciiTheme="minorEastAsia" w:hAnsiTheme="minorEastAsia"/>
          <w:sz w:val="24"/>
        </w:rPr>
        <w:t>）</w:t>
      </w:r>
      <w:r>
        <w:rPr>
          <w:rFonts w:hint="eastAsia" w:asciiTheme="minorEastAsia" w:hAnsiTheme="minorEastAsia"/>
          <w:sz w:val="24"/>
          <w:lang w:val="en-US" w:eastAsia="zh-CN"/>
        </w:rPr>
        <w:t>水泥混凝土</w:t>
      </w:r>
      <w:r>
        <w:rPr>
          <w:rFonts w:hint="eastAsia" w:asciiTheme="minorEastAsia" w:hAnsiTheme="minorEastAsia"/>
          <w:sz w:val="24"/>
        </w:rPr>
        <w:t>的铺筑作业</w:t>
      </w:r>
    </w:p>
    <w:p w14:paraId="54CBFA4D">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1)卸料应均匀，布料应与摊铺速度相适应。</w:t>
      </w:r>
    </w:p>
    <w:p w14:paraId="2A5631A6">
      <w:pPr>
        <w:widowControl/>
        <w:spacing w:line="360" w:lineRule="auto"/>
        <w:ind w:firstLine="480" w:firstLineChars="200"/>
        <w:rPr>
          <w:rFonts w:hint="eastAsia" w:asciiTheme="minorEastAsia" w:hAnsiTheme="minorEastAsia"/>
          <w:sz w:val="24"/>
          <w:lang w:eastAsia="zh-CN"/>
        </w:rPr>
      </w:pPr>
      <w:r>
        <w:rPr>
          <w:rFonts w:hint="eastAsia" w:asciiTheme="minorEastAsia" w:hAnsiTheme="minorEastAsia"/>
          <w:sz w:val="24"/>
        </w:rPr>
        <w:t>2)设有接缝拉杆的混凝土面层，应在面层施工中及时安设拉杆。三辊轴整平机分段整平的作业单元长度宜为20~3)30m，振捣机振实与三辊轴整平工序之间的时间间隔不</w:t>
      </w:r>
      <w:r>
        <w:rPr>
          <w:rFonts w:hint="eastAsia" w:asciiTheme="minorEastAsia" w:hAnsiTheme="minorEastAsia"/>
          <w:sz w:val="24"/>
          <w:lang w:val="en-US" w:eastAsia="zh-CN"/>
        </w:rPr>
        <w:t>宜</w:t>
      </w:r>
      <w:r>
        <w:rPr>
          <w:rFonts w:hint="eastAsia" w:asciiTheme="minorEastAsia" w:hAnsiTheme="minorEastAsia"/>
          <w:sz w:val="24"/>
        </w:rPr>
        <w:t>超过15min。在一个作业单元长度内，应采用前进振动、后退静滚方式作业，最佳滚压遍数应经过试铺确定</w:t>
      </w:r>
      <w:r>
        <w:rPr>
          <w:rFonts w:hint="eastAsia" w:asciiTheme="minorEastAsia" w:hAnsiTheme="minorEastAsia"/>
          <w:sz w:val="24"/>
          <w:lang w:eastAsia="zh-CN"/>
        </w:rPr>
        <w:t>。</w:t>
      </w:r>
    </w:p>
    <w:p w14:paraId="738FF3CC">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w:t>
      </w:r>
      <w:r>
        <w:rPr>
          <w:rFonts w:hint="eastAsia" w:asciiTheme="minorEastAsia" w:hAnsiTheme="minorEastAsia"/>
          <w:sz w:val="24"/>
        </w:rPr>
        <w:t>采用轨道摊铺机铺筑时，最小摊铺宽度不宜小于3.75m，</w:t>
      </w:r>
    </w:p>
    <w:p w14:paraId="66B40391">
      <w:pPr>
        <w:widowControl/>
        <w:spacing w:line="360" w:lineRule="auto"/>
        <w:ind w:firstLine="480" w:firstLineChars="200"/>
        <w:rPr>
          <w:rFonts w:hint="eastAsia" w:asciiTheme="minorEastAsia" w:hAnsiTheme="minorEastAsia"/>
          <w:sz w:val="24"/>
          <w:lang w:val="en-US" w:eastAsia="zh-CN"/>
        </w:rPr>
      </w:pPr>
      <w:r>
        <w:rPr>
          <w:rFonts w:hint="eastAsia" w:asciiTheme="minorEastAsia" w:hAnsiTheme="minorEastAsia"/>
          <w:sz w:val="24"/>
          <w:lang w:val="en-US" w:eastAsia="zh-CN"/>
        </w:rPr>
        <w:t>4</w:t>
      </w:r>
      <w:r>
        <w:rPr>
          <w:rFonts w:hint="eastAsia" w:asciiTheme="minorEastAsia" w:hAnsiTheme="minorEastAsia"/>
          <w:sz w:val="24"/>
        </w:rPr>
        <w:t>）</w:t>
      </w:r>
      <w:r>
        <w:rPr>
          <w:rFonts w:hint="eastAsia" w:asciiTheme="minorEastAsia" w:hAnsiTheme="minorEastAsia"/>
          <w:sz w:val="24"/>
          <w:lang w:val="en-US" w:eastAsia="zh-CN"/>
        </w:rPr>
        <w:t>混凝土面层应拉毛、压痕或刻痕，其平均纹理深度应为1~2。</w:t>
      </w:r>
    </w:p>
    <w:p w14:paraId="7104DE1D">
      <w:pPr>
        <w:widowControl/>
        <w:spacing w:line="360" w:lineRule="auto"/>
        <w:ind w:firstLine="480" w:firstLineChars="200"/>
        <w:rPr>
          <w:rFonts w:hint="eastAsia" w:asciiTheme="minorEastAsia" w:hAnsiTheme="minorEastAsia"/>
          <w:sz w:val="24"/>
          <w:lang w:val="en-US" w:eastAsia="zh-CN"/>
        </w:rPr>
      </w:pPr>
      <w:r>
        <w:rPr>
          <w:rFonts w:hint="eastAsia" w:asciiTheme="minorEastAsia" w:hAnsiTheme="minorEastAsia"/>
          <w:sz w:val="24"/>
          <w:lang w:val="en-US" w:eastAsia="zh-CN"/>
        </w:rPr>
        <w:t>5）横缝施工应符合下列规定:胀缝间距应符合设计规定，缝宽宜为20mm。在与结构物衔接处、道路交叉和填挖土方变化处，应设胀缝；胀缝上部的预留填缝空隙，宜用提缝板留置。提缝板应直顺，与胀缝板密合、垂直于面层；缩缝应垂直板面，宽度宜为4~6mm。切缝深度:设传力杆时，不应小于面层厚的1/3，且不得小于70mm;不设传力杆时不应小于面层厚的1/4，且不应小于60mm；机切缝时，宜在水泥混凝土强度达到设计强度25%~30%时进行。</w:t>
      </w:r>
    </w:p>
    <w:p w14:paraId="48ABB638">
      <w:pPr>
        <w:widowControl/>
        <w:spacing w:line="360" w:lineRule="auto"/>
        <w:ind w:firstLine="480" w:firstLineChars="200"/>
        <w:rPr>
          <w:rFonts w:hint="default" w:asciiTheme="minorEastAsia" w:hAnsiTheme="minorEastAsia"/>
          <w:sz w:val="24"/>
          <w:lang w:val="en-US" w:eastAsia="zh-CN"/>
        </w:rPr>
      </w:pPr>
      <w:r>
        <w:rPr>
          <w:rFonts w:hint="eastAsia" w:asciiTheme="minorEastAsia" w:hAnsiTheme="minorEastAsia"/>
          <w:sz w:val="24"/>
        </w:rPr>
        <w:t>（</w:t>
      </w:r>
      <w:r>
        <w:rPr>
          <w:rFonts w:hint="eastAsia" w:asciiTheme="minorEastAsia" w:hAnsiTheme="minorEastAsia"/>
          <w:sz w:val="24"/>
          <w:lang w:val="en-US" w:eastAsia="zh-CN"/>
        </w:rPr>
        <w:t>5</w:t>
      </w:r>
      <w:r>
        <w:rPr>
          <w:rFonts w:hint="eastAsia" w:asciiTheme="minorEastAsia" w:hAnsiTheme="minorEastAsia"/>
          <w:sz w:val="24"/>
        </w:rPr>
        <w:t>）</w:t>
      </w:r>
      <w:r>
        <w:rPr>
          <w:rFonts w:hint="eastAsia" w:asciiTheme="minorEastAsia" w:hAnsiTheme="minorEastAsia"/>
          <w:sz w:val="24"/>
          <w:lang w:val="en-US" w:eastAsia="zh-CN"/>
        </w:rPr>
        <w:t>水泥混凝土</w:t>
      </w:r>
      <w:r>
        <w:rPr>
          <w:rFonts w:hint="eastAsia" w:asciiTheme="minorEastAsia" w:hAnsiTheme="minorEastAsia"/>
          <w:sz w:val="24"/>
        </w:rPr>
        <w:t>的</w:t>
      </w:r>
      <w:r>
        <w:rPr>
          <w:rFonts w:hint="eastAsia" w:asciiTheme="minorEastAsia" w:hAnsiTheme="minorEastAsia"/>
          <w:sz w:val="24"/>
          <w:lang w:val="en-US" w:eastAsia="zh-CN"/>
        </w:rPr>
        <w:t>养护与填缝</w:t>
      </w:r>
    </w:p>
    <w:p w14:paraId="3BDF86D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1)</w:t>
      </w:r>
      <w:r>
        <w:rPr>
          <w:rFonts w:hint="eastAsia" w:asciiTheme="minorEastAsia" w:hAnsiTheme="minorEastAsia"/>
          <w:sz w:val="24"/>
        </w:rPr>
        <w:t>水泥混凝土面层成活后，应及时养护。可选用保湿法和塑料薄膜覆盖等方法养护。气温较高时，养护不宜少于14d;低温时，养护期不宜少于21d。</w:t>
      </w:r>
    </w:p>
    <w:p w14:paraId="34EC3ED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2)</w:t>
      </w:r>
      <w:r>
        <w:rPr>
          <w:rFonts w:hint="eastAsia" w:asciiTheme="minorEastAsia" w:hAnsiTheme="minorEastAsia"/>
          <w:sz w:val="24"/>
        </w:rPr>
        <w:t>昼夜温差大的地区，应采取保温、保湿的养护措施。</w:t>
      </w:r>
    </w:p>
    <w:p w14:paraId="01204BE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3)</w:t>
      </w:r>
      <w:r>
        <w:rPr>
          <w:rFonts w:hint="eastAsia" w:asciiTheme="minorEastAsia" w:hAnsiTheme="minorEastAsia"/>
          <w:sz w:val="24"/>
        </w:rPr>
        <w:t>养护期间应封闭交通，不应堆放重物;养护终结，应及时清除面层养护材料。</w:t>
      </w:r>
    </w:p>
    <w:p w14:paraId="4A14734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4)</w:t>
      </w:r>
      <w:r>
        <w:rPr>
          <w:rFonts w:hint="eastAsia" w:asciiTheme="minorEastAsia" w:hAnsiTheme="minorEastAsia"/>
          <w:sz w:val="24"/>
        </w:rPr>
        <w:t>混凝土板在达到设计强度的40%以后，方可允许行人通行。</w:t>
      </w:r>
    </w:p>
    <w:p w14:paraId="1FBC91A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5)</w:t>
      </w:r>
      <w:r>
        <w:rPr>
          <w:rFonts w:hint="eastAsia" w:asciiTheme="minorEastAsia" w:hAnsiTheme="minorEastAsia"/>
          <w:sz w:val="24"/>
        </w:rPr>
        <w:t>填缝应符合下列规定:</w:t>
      </w:r>
    </w:p>
    <w:p w14:paraId="13ECF6A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①</w:t>
      </w:r>
      <w:r>
        <w:rPr>
          <w:rFonts w:hint="eastAsia" w:asciiTheme="minorEastAsia" w:hAnsiTheme="minorEastAsia"/>
          <w:sz w:val="24"/>
        </w:rPr>
        <w:t>混凝土板养护期满后应及时填缝，缝内遗留的砂石、灰浆等杂物，应剔除干净。</w:t>
      </w:r>
    </w:p>
    <w:p w14:paraId="11AD281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②</w:t>
      </w:r>
      <w:r>
        <w:rPr>
          <w:rFonts w:hint="eastAsia" w:asciiTheme="minorEastAsia" w:hAnsiTheme="minorEastAsia"/>
          <w:sz w:val="24"/>
        </w:rPr>
        <w:t>应按设计要求选择填缝料，并根据填料品种制定工艺技术措施。</w:t>
      </w:r>
    </w:p>
    <w:p w14:paraId="4BCCEAC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③</w:t>
      </w:r>
      <w:r>
        <w:rPr>
          <w:rFonts w:hint="eastAsia" w:asciiTheme="minorEastAsia" w:hAnsiTheme="minorEastAsia"/>
          <w:sz w:val="24"/>
        </w:rPr>
        <w:t>浇注填料必须在缝槽干燥状态下进行，填缝料应与混凝土缝壁粘附紧密，不渗水。</w:t>
      </w:r>
    </w:p>
    <w:p w14:paraId="689CC48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④</w:t>
      </w:r>
      <w:r>
        <w:rPr>
          <w:rFonts w:hint="eastAsia" w:asciiTheme="minorEastAsia" w:hAnsiTheme="minorEastAsia"/>
          <w:sz w:val="24"/>
        </w:rPr>
        <w:t>填缝料的充满度应根据施工季节而定，常温施工应与路面平，冬期施工，宜略低于板面。</w:t>
      </w:r>
    </w:p>
    <w:p w14:paraId="72C05FA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lang w:val="en-US" w:eastAsia="zh-CN"/>
        </w:rPr>
        <w:t>6）</w:t>
      </w:r>
      <w:r>
        <w:rPr>
          <w:rFonts w:hint="eastAsia" w:asciiTheme="minorEastAsia" w:hAnsiTheme="minorEastAsia"/>
          <w:sz w:val="24"/>
        </w:rPr>
        <w:t>在面层混凝土弯拉强度达到设计强度，且填缝完成前，不得开放交通。</w:t>
      </w:r>
    </w:p>
    <w:p w14:paraId="2255D73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2、水泥稳定碎石施工技术</w:t>
      </w:r>
    </w:p>
    <w:p w14:paraId="2F10845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（1）下承层准备 </w:t>
      </w:r>
    </w:p>
    <w:p w14:paraId="61B8028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1）对下承层的标高、平整度、压实度、横坡度等进行检测；</w:t>
      </w:r>
    </w:p>
    <w:p w14:paraId="5FE6F32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2）清理下承层上的杂物及污染，使其表面洁净。</w:t>
      </w:r>
    </w:p>
    <w:p w14:paraId="324CCA29">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（2）测量放样 </w:t>
      </w:r>
    </w:p>
    <w:p w14:paraId="5F8A63D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1）放出半幅基层的边线； </w:t>
      </w:r>
    </w:p>
    <w:p w14:paraId="71EAE788">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2）培路肩，每10m开挖临时排水沟槽；</w:t>
      </w:r>
    </w:p>
    <w:p w14:paraId="047394FD">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3）打基准杆，每10m不少于1根； </w:t>
      </w:r>
    </w:p>
    <w:p w14:paraId="02C46AC9">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4）架设基准钢丝，按大于800N的拉力将钢丝拉紧，并调整好正确高程及平面位置。</w:t>
      </w:r>
    </w:p>
    <w:p w14:paraId="111B3D8C">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（3）拌和</w:t>
      </w:r>
    </w:p>
    <w:p w14:paraId="5532A89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1）采用连续式稳定粒料拌和设备进行集中拌和； </w:t>
      </w:r>
    </w:p>
    <w:p w14:paraId="7216D89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2）正式生产前进行稳定粒料拌和设备的调试，使其符合生产配合比的颗粒级配；</w:t>
      </w:r>
    </w:p>
    <w:p w14:paraId="6048160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3）拌和机的投料要准确，要在投料运输带上定期取样，检查各料仓的投料数量； </w:t>
      </w:r>
    </w:p>
    <w:p w14:paraId="695EA3F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4）控制集料的含水量，采取电子计量装置控制加水量，确保拌和的混合料含水量比最佳含水量大0.5～1个百分点，以补偿摊铺及碾压过程中水分的损失；</w:t>
      </w:r>
    </w:p>
    <w:p w14:paraId="0C0695F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5）配料要准确，拌和要均匀，成品料应随时用装载机推平，避免形成锥体而引起离析。</w:t>
      </w:r>
    </w:p>
    <w:p w14:paraId="04C48D7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（4）运输 </w:t>
      </w:r>
      <w:r>
        <w:rPr>
          <w:rFonts w:hint="eastAsia" w:asciiTheme="minorEastAsia" w:hAnsiTheme="minorEastAsia"/>
          <w:kern w:val="0"/>
          <w:sz w:val="24"/>
          <w:lang w:val="zh-CN" w:eastAsia="zh-CN"/>
        </w:rPr>
        <mc:AlternateContent>
          <mc:Choice Requires="wps">
            <w:drawing>
              <wp:anchor distT="0" distB="0" distL="114300" distR="114300" simplePos="0" relativeHeight="251670528" behindDoc="0" locked="0" layoutInCell="1" allowOverlap="1">
                <wp:simplePos x="0" y="0"/>
                <wp:positionH relativeFrom="column">
                  <wp:posOffset>8546465</wp:posOffset>
                </wp:positionH>
                <wp:positionV relativeFrom="paragraph">
                  <wp:posOffset>1494155</wp:posOffset>
                </wp:positionV>
                <wp:extent cx="648970" cy="485140"/>
                <wp:effectExtent l="0" t="0" r="0" b="0"/>
                <wp:wrapNone/>
                <wp:docPr id="36" name="矩形 36"/>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5515EF61">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117.65pt;height:38.2pt;width:51.1pt;z-index:251670528;v-text-anchor:middle;mso-width-relative:page;mso-height-relative:page;" filled="f" stroked="f" coordsize="21600,21600" o:gfxdata="UEsDBAoAAAAAAIdO4kAAAAAAAAAAAAAAAAAEAAAAZHJzL1BLAwQUAAAACACHTuJA79LDv9sAAAAN&#10;AQAADwAAAGRycy9kb3ducmV2LnhtbE2PwW7CMBBE75X4B2uReiuOSWhpGgch1FbiCKmEuDnxNkmJ&#10;11FsAvx9zak9jvZp5m22upqOjTi41pIEMYuAIVVWt1RL+Co+npbAnFekVWcJJdzQwSqfPGQq1fZC&#10;Oxz3vmahhFyqJDTe9ynnrmrQKDezPVK4fdvBKB/iUHM9qEsoNx2fR9EzN6qlsNCoHjcNVqf92Uhw&#10;5bgtbv368HN0Vbl+J1Mk208pH6ciegPm8er/YLjrB3XIg1Npz6Qd60KOk8VrYCXM40UM7I4kyVIA&#10;KyXEQrwAzzP+/4v8F1BLAwQUAAAACACHTuJA12InvFMCAACXBAAADgAAAGRycy9lMm9Eb2MueG1s&#10;rVRLbtswEN0X6B0I7hvZrvMzIgdGjBQFgiZAWnRNU6RFgL+StOX0MgW66yF6nKLX6COlOEbaRRbd&#10;SDOc0Ru+NzO6uNwZTbYiROVsTcdHI0qE5a5Rdl3TTx+v35xREhOzDdPOipo+iEgv569fXXR+Jiau&#10;dboRgQDExlnna9qm5GdVFXkrDItHzguLoHTBsAQ3rKsmsA7oRleT0eik6lxofHBcxIjTZR+kA2J4&#10;CaCTUnGxdHxjhE09ahCaJVCKrfKRzsttpRQ83UoZRSK6pmCayhNFYK/ys5pfsNk6MN8qPlyBveQK&#10;zzgZpiyK7qGWLDGyCeovKKN4cNHJdMSdqXoiRRGwGI+eaXPfMi8KF0gd/V70+P9g+YftXSCqqenb&#10;E0osM+j4728/fv38TnAAdTofZ0i693dh8CLMTHUng8lvkCC7oujDXlGxS4Tj8GR6dn4KrTlC07Pj&#10;8bQoXj197ENM74QzJBs1DWhY0ZFtb2JCQaQ+puRa1l0rrUvTtCVdTSfH01HGZ5hEiQmAaTzYRLum&#10;hOk1RpynUCAPvs2QSxZbsmWYi+i0ajJXFNMWr8y5Z5mttFvtBuor1zxAruD6OYqeXytA3bCY7ljA&#10;4OAqWK10i4fUDvdzg0VJ68LXf53nfPQTUUo6DCLu82XDgqBEv7fo9Pl4CtVIKs70+HQCJxxGVocR&#10;uzFXDpzGWGLPi5nzk340ZXDmMzZwkasixCxH7V6lwblK/YJgh7lYLEoaptWzdGPvPc/gfS8Wm+Sk&#10;Km3KQvXqDPphXougw27lhTj0S9bT/2T+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Sw7/bAAAA&#10;DQEAAA8AAAAAAAAAAQAgAAAAIgAAAGRycy9kb3ducmV2LnhtbFBLAQIUABQAAAAIAIdO4kDXYie8&#10;UwIAAJcEAAAOAAAAAAAAAAEAIAAAACoBAABkcnMvZTJvRG9jLnhtbFBLBQYAAAAABgAGAFkBAADv&#10;BQAAAAA=&#10;">
                <v:fill on="f" focussize="0,0"/>
                <v:stroke on="f" weight="2pt"/>
                <v:imagedata o:title=""/>
                <o:lock v:ext="edit" aspectratio="f"/>
                <v:textbox>
                  <w:txbxContent>
                    <w:p w14:paraId="5515EF61">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p w14:paraId="7FDB1745">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1）装车时要清扫车辆；</w:t>
      </w:r>
      <w:r>
        <w:rPr>
          <w:rFonts w:hint="eastAsia" w:asciiTheme="minorEastAsia" w:hAnsiTheme="minorEastAsia"/>
          <w:kern w:val="0"/>
          <w:sz w:val="24"/>
          <w:lang w:val="zh-CN" w:eastAsia="zh-CN"/>
        </w:rPr>
        <mc:AlternateContent>
          <mc:Choice Requires="wps">
            <w:drawing>
              <wp:anchor distT="0" distB="0" distL="114300" distR="114300" simplePos="0" relativeHeight="251678720" behindDoc="0" locked="0" layoutInCell="1" allowOverlap="1">
                <wp:simplePos x="0" y="0"/>
                <wp:positionH relativeFrom="column">
                  <wp:posOffset>1289050</wp:posOffset>
                </wp:positionH>
                <wp:positionV relativeFrom="paragraph">
                  <wp:posOffset>1062990</wp:posOffset>
                </wp:positionV>
                <wp:extent cx="2213610" cy="511810"/>
                <wp:effectExtent l="0" t="0" r="0" b="0"/>
                <wp:wrapNone/>
                <wp:docPr id="44" name="矩形 44"/>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4FF012F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15638324">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83.7pt;height:40.3pt;width:174.3pt;z-index:251678720;v-text-anchor:middle;mso-width-relative:page;mso-height-relative:page;" filled="f" stroked="f" coordsize="21600,21600" o:gfxdata="UEsDBAoAAAAAAIdO4kAAAAAAAAAAAAAAAAAEAAAAZHJzL1BLAwQUAAAACACHTuJAQ4B3wdkAAAAL&#10;AQAADwAAAGRycy9kb3ducmV2LnhtbE2PwU7DMBBE70j8g7VI3KidkoYqxKkqBEg90iAhbk68JIF4&#10;HcVu2v49y6kcV280+6bYnNwgZpxC70lDslAgkBpve2o1vFcvd2sQIRqyZvCEGs4YYFNeXxUmt/5I&#10;bzjvYyu4hEJuNHQxjrmUoenQmbDwIxKzLz85E/mcWmknc+RyN8ilUpl0pif+0JkRnzpsfvYHpyHU&#10;8646j9uP78/Q1NtnclW6e9X69iZRjyAinuIlDH/6rA4lO9X+QDaIQcNS3fOWyCB7SEFwYrVKMhA1&#10;o3StQJaF/L+h/AVQSwMEFAAAAAgAh07iQN6Km99RAgAAmAQAAA4AAABkcnMvZTJvRG9jLnhtbK1U&#10;zW4TMRC+I/EOlu90syEtJeqmihoVIVW0UkGcHa+dteQ/bCeb8jJI3HgIHgfxGnz2btuocOiBizPj&#10;mf083zczOTvfG012IkTlbEProwklwnLXKrtp6KePl69OKYmJ2ZZpZ0VD70Sk54uXL856PxdT1znd&#10;ikAAYuO89w3tUvLzqoq8E4bFI+eFRVC6YFiCGzZVG1gPdKOr6WRyUvUutD44LmLE7WoI0hExPAfQ&#10;Sam4WDm+NcKmATUIzRIoxU75SBelWikFT9dSRpGIbiiYpnLiEdjrfFaLMzbfBOY7xccS2HNKeMLJ&#10;MGXx6APUiiVGtkH9BWUUDy46mY64M9VApCgCFvXkiTa3HfOicIHU0T+IHv8fLP+wuwlEtQ2dzSix&#10;zKDjv7/9+PXzO8EF1Ol9nCPp1t+E0YswM9W9DCb/ggTZF0XvHhQV+0Q4LqfT+vVJDbE5Ysd1fQob&#10;MNXj1z7E9E44Q7LR0ICOFSHZ7iqmIfU+JT9m3aXSGvdsri3p8cLxbJLxGUZRYgRgGg860W4oYXqD&#10;GecpFMiDbzPkisWO7BgGIzqt2rEubVFeJj3QzFbar/cj97Vr76BXcMMgRc8vFaCuWEw3LGByUAp2&#10;K13jkNqhPjdalHQufP3Xfc5HQxGlpMckop4vWxYEJfq9Ravf1rMZYFNxZsdvpnDCYWR9GLFbc+HA&#10;qcYWe17MnJ/0vSmDM5+xgsv8KkLMcrw9qDQ6F2nYECwxF8tlScO4epau7K3nGXzoxXKbnFSlTVmo&#10;QZ1RPwxsafS4XHkjDv2S9fiHsvgD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Q4B3wdkAAAALAQAA&#10;DwAAAAAAAAABACAAAAAiAAAAZHJzL2Rvd25yZXYueG1sUEsBAhQAFAAAAAgAh07iQN6Km99RAgAA&#10;mAQAAA4AAAAAAAAAAQAgAAAAKAEAAGRycy9lMm9Eb2MueG1sUEsFBgAAAAAGAAYAWQEAAOsFAAAA&#10;AA==&#10;">
                <v:fill on="f" focussize="0,0"/>
                <v:stroke on="f" weight="2pt"/>
                <v:imagedata o:title=""/>
                <o:lock v:ext="edit" aspectratio="f"/>
                <v:textbox>
                  <w:txbxContent>
                    <w:p w14:paraId="4FF012F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15638324">
                      <w:pPr>
                        <w:jc w:val="center"/>
                        <w:rPr>
                          <w:color w:val="000000" w:themeColor="text1"/>
                          <w:sz w:val="28"/>
                          <w:szCs w:val="28"/>
                          <w14:textFill>
                            <w14:solidFill>
                              <w14:schemeClr w14:val="tx1"/>
                            </w14:solidFill>
                          </w14:textFill>
                        </w:rPr>
                      </w:pPr>
                    </w:p>
                  </w:txbxContent>
                </v:textbox>
              </v:rect>
            </w:pict>
          </mc:Fallback>
        </mc:AlternateContent>
      </w:r>
    </w:p>
    <w:p w14:paraId="4C441FCF">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2）运输车辆应盖篷布，防止混合料水份蒸发或防止雨淋及污染环境；</w:t>
      </w:r>
    </w:p>
    <w:p w14:paraId="6DC04D6C">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3）设专人指挥运输车卸料，并作好相应的记录。</w:t>
      </w:r>
    </w:p>
    <w:p w14:paraId="499D5EB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（5）摊铺 </w:t>
      </w:r>
    </w:p>
    <w:p w14:paraId="32F04D4D">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1）摊铺机就位后，按试验路段提供的松铺系数调整好松铺厚度，调整好二台摊铺机的横坡，使其横坡一致；</w:t>
      </w:r>
    </w:p>
    <w:p w14:paraId="05CFD81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2）二台摊铺机成阶梯形，前后相差10～20m。供料能力、运输能力与摊铺速度相匹配，保持每台摊铺机前有3台以上的运料车在等待卸料；</w:t>
      </w:r>
    </w:p>
    <w:p w14:paraId="2D47EB8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3）运料车辆在摊铺机前方20～30cm处停车，防止碰撞摊铺机，由摊铺机迎上去推动卸料车，边前进边卸料，卸料速度应与摊铺速度相协调；</w:t>
      </w:r>
    </w:p>
    <w:p w14:paraId="62C2E301">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4）后一台摊铺机与前一台摊铺机应有10cm左右的重叠摊铺宽度，且前后一起碾压；</w:t>
      </w:r>
    </w:p>
    <w:p w14:paraId="2960101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5）摊铺机应保持连续、均匀、不间断的摊铺，摊铺速度一般为2～4m/min；</w:t>
      </w:r>
    </w:p>
    <w:p w14:paraId="4408E91E">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6）为了确保基层两侧边缘密实，在摊铺时两侧各要超宽10～20cm，待水泥稳定碎石强度（一般为7天）形成后，修整成设计边部尺寸；</w:t>
      </w:r>
    </w:p>
    <w:p w14:paraId="6E9050D9">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（6）碾压</w:t>
      </w:r>
    </w:p>
    <w:p w14:paraId="1EFE5CE8">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1）摊铺50m左右时即可开始碾压，作为一个碾压段；</w:t>
      </w:r>
    </w:p>
    <w:p w14:paraId="0B0AACFF">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2）碾压程序为：先轻后重，由边向中，由低至高，碾压时，后轮重叠1/2轮宽。碾压速度和碾压遍数按试验路段提供的数据；</w:t>
      </w:r>
    </w:p>
    <w:p w14:paraId="25D7AE2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3）用振动压路机由边向中稳压一遍，其速度一般为1.5～2.0km/h；</w:t>
      </w:r>
    </w:p>
    <w:p w14:paraId="4088D4A0">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4）由振动压路机振压，后轮重叠1/2轮宽，碾压速度为2.5～3km/h；</w:t>
      </w:r>
    </w:p>
    <w:p w14:paraId="2ECC70F7">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5）最后由16～18t轮胎压路机进行终压，重叠1/2轮宽，一般碾压3遍即可。</w:t>
      </w:r>
    </w:p>
    <w:p w14:paraId="27B81D10">
      <w:pPr>
        <w:widowControl/>
        <w:spacing w:line="360" w:lineRule="auto"/>
        <w:ind w:firstLine="480" w:firstLineChars="200"/>
        <w:rPr>
          <w:rFonts w:hint="eastAsia" w:asciiTheme="minorEastAsia" w:hAnsiTheme="minorEastAsia"/>
          <w:sz w:val="24"/>
        </w:rPr>
      </w:pPr>
    </w:p>
    <w:p w14:paraId="4E65E5AF">
      <w:pPr>
        <w:pStyle w:val="6"/>
        <w:pageBreakBefore w:val="0"/>
        <w:kinsoku/>
        <w:wordWrap/>
        <w:overflowPunct/>
        <w:topLinePunct w:val="0"/>
        <w:bidi w:val="0"/>
        <w:spacing w:before="0" w:beforeAutospacing="0" w:after="0" w:afterAutospacing="0" w:line="360" w:lineRule="auto"/>
        <w:ind w:left="0" w:leftChars="0" w:firstLine="0" w:firstLineChars="0"/>
        <w:rPr>
          <w:rFonts w:hint="eastAsia" w:ascii="黑体" w:hAnsi="黑体" w:eastAsia="黑体" w:cs="黑体"/>
          <w:bCs/>
          <w:lang w:val="en-US" w:eastAsia="zh-CN"/>
        </w:rPr>
      </w:pPr>
      <w:bookmarkStart w:id="49" w:name="_Toc20148"/>
      <w:bookmarkStart w:id="50" w:name="_Toc1767"/>
      <w:bookmarkStart w:id="51" w:name="_Toc8638411"/>
      <w:bookmarkStart w:id="52" w:name="_Toc301187546"/>
      <w:bookmarkStart w:id="53" w:name="_Toc401906964"/>
      <w:r>
        <w:rPr>
          <w:rFonts w:hint="eastAsia" w:ascii="黑体" w:hAnsi="黑体" w:eastAsia="黑体" w:cs="黑体"/>
          <w:bCs/>
          <w:lang w:val="en-US" w:eastAsia="zh-CN"/>
        </w:rPr>
        <w:t>4.2施工注意事项</w:t>
      </w:r>
      <w:bookmarkEnd w:id="49"/>
      <w:bookmarkEnd w:id="50"/>
      <w:bookmarkEnd w:id="51"/>
      <w:bookmarkEnd w:id="52"/>
      <w:bookmarkEnd w:id="53"/>
    </w:p>
    <w:p w14:paraId="06957FFF">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1、施工应严格按照国家颁布的相关规范、行业标准(施工时均执行最新版的国家、行业标准)进行。</w:t>
      </w:r>
    </w:p>
    <w:p w14:paraId="1137045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2、施工时若发现未预计情况或现场产生的实际情况，按照国家有关设计和施工规范执行，并征求业主、设计单位和监理单位的同意；必要时由业主或监理单位支持共同协商解决。</w:t>
      </w:r>
    </w:p>
    <w:p w14:paraId="5A05CD64">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3、做好场地清理和排水工作，清出的种植土应集中堆放，妥善处理，对路基填料均应进行复查和取样试验。</w:t>
      </w:r>
    </w:p>
    <w:p w14:paraId="7E310DFA">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4、施工时应注意环境保护，并采取必要的保护措施。</w:t>
      </w:r>
    </w:p>
    <w:p w14:paraId="4CD70AF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5、各阶段施工技术方案均应报送监理单位及相关管理单位，审批后方可实施。</w:t>
      </w:r>
    </w:p>
    <w:p w14:paraId="26E30442">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6、为满足施工作业机具的通行和雨（洪）水的排流以及各种车辆的需要，应提前安排水渠的施工，以利质量和工期的要求。</w:t>
      </w:r>
    </w:p>
    <w:p w14:paraId="5B9498B6">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7、采用机械化，标准化集中预制构件的施工方法，选择场地宽阔、材料来源和运输方便的加工场地。</w:t>
      </w:r>
    </w:p>
    <w:p w14:paraId="63DFA86C">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8、施工期间注意合理调配施工工艺及工期，保证交通畅通和施工质量、施工工期，保证沿线的风景以及设施的完好性。</w:t>
      </w:r>
    </w:p>
    <w:p w14:paraId="2425947B">
      <w:pPr>
        <w:widowControl/>
        <w:spacing w:line="360" w:lineRule="auto"/>
        <w:ind w:firstLine="480" w:firstLineChars="200"/>
        <w:rPr>
          <w:rFonts w:hint="eastAsia" w:asciiTheme="minorEastAsia" w:hAnsiTheme="minorEastAsia"/>
          <w:sz w:val="24"/>
        </w:rPr>
      </w:pPr>
      <w:r>
        <w:rPr>
          <w:rFonts w:hint="eastAsia" w:asciiTheme="minorEastAsia" w:hAnsiTheme="minorEastAsia"/>
          <w:sz w:val="24"/>
        </w:rPr>
        <w:t>9、建议采用专业化、正规化的施工队伍，确保工期和质量。</w:t>
      </w:r>
    </w:p>
    <w:p w14:paraId="01560511">
      <w:pPr>
        <w:widowControl/>
        <w:spacing w:line="360" w:lineRule="auto"/>
        <w:ind w:firstLine="480" w:firstLineChars="200"/>
        <w:rPr>
          <w:rFonts w:hint="eastAsia" w:asciiTheme="minorEastAsia" w:hAnsiTheme="minorEastAsia"/>
          <w:sz w:val="24"/>
          <w:lang w:eastAsia="zh-CN"/>
        </w:rPr>
      </w:pPr>
      <w:r>
        <w:rPr>
          <w:rFonts w:hint="eastAsia" w:asciiTheme="minorEastAsia" w:hAnsiTheme="minorEastAsia"/>
          <w:sz w:val="24"/>
        </w:rPr>
        <w:t>10、施工单位务必文明施工，以确保维护沿线良好的形象</w:t>
      </w:r>
      <w:r>
        <w:rPr>
          <w:rFonts w:hint="eastAsia" w:asciiTheme="minorEastAsia" w:hAnsiTheme="minorEastAsia"/>
          <w:sz w:val="24"/>
          <w:lang w:eastAsia="zh-CN"/>
        </w:rPr>
        <w:t>。</w:t>
      </w:r>
    </w:p>
    <w:p w14:paraId="003EE302">
      <w:pPr>
        <w:pStyle w:val="4"/>
        <w:spacing w:beforeLines="0" w:afterLines="0"/>
        <w:rPr>
          <w:rFonts w:hint="eastAsia" w:cs="Times New Roman" w:asciiTheme="minorEastAsia" w:hAnsiTheme="minorEastAsia" w:eastAsiaTheme="minorEastAsia"/>
          <w:color w:val="auto"/>
        </w:rPr>
      </w:pPr>
      <w:r>
        <w:rPr>
          <w:rFonts w:hint="eastAsia" w:cs="Times New Roman" w:asciiTheme="minorEastAsia" w:hAnsiTheme="minorEastAsia" w:eastAsiaTheme="minorEastAsia"/>
          <w:color w:val="auto"/>
          <w:lang w:val="en-US" w:eastAsia="zh-CN"/>
        </w:rPr>
        <w:t>5</w:t>
      </w:r>
      <w:r>
        <w:rPr>
          <w:rFonts w:hint="eastAsia" w:cs="Times New Roman" w:asciiTheme="minorEastAsia" w:hAnsiTheme="minorEastAsia" w:eastAsiaTheme="minorEastAsia"/>
          <w:color w:val="auto"/>
        </w:rPr>
        <w:t>交通标志</w:t>
      </w:r>
    </w:p>
    <w:p w14:paraId="57577917">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本工程交通标志以现行</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道路交通标志和标线</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 xml:space="preserve"> 第2部分：道路交通标志(GB5768.2-2022)为指导，力争使指路标志信息清晰、准确、全面、系统、连贯；从交通参与者角度出发，体现交通标志人性化，使指路标志信息简洁、明了。</w:t>
      </w:r>
    </w:p>
    <w:p w14:paraId="6BD244E7">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指示、指路标志采用蓝底白色图案。文字指示标志中中英文字大小为2:1.标志板反光材料主要采用Ⅳ类反光膜（GB/T 18833-2012）。反光原理为微棱镜式。标志采用3mm厚铝合金做底板，铝合金板采用滑动铝槽加固，加固间距50cm</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b/>
          <w:bCs/>
          <w:sz w:val="24"/>
          <w:szCs w:val="24"/>
          <w:lang w:val="en-US" w:eastAsia="zh-CN"/>
        </w:rPr>
        <w:t>标志设计风荷载为0.60KN/㎡</w:t>
      </w:r>
      <w:r>
        <w:rPr>
          <w:rFonts w:hint="eastAsia" w:asciiTheme="minorEastAsia" w:hAnsiTheme="minorEastAsia" w:eastAsiaTheme="minorEastAsia" w:cstheme="minorEastAsia"/>
          <w:b/>
          <w:bCs/>
          <w:sz w:val="24"/>
          <w:szCs w:val="24"/>
        </w:rPr>
        <w:t>。</w:t>
      </w:r>
    </w:p>
    <w:p w14:paraId="7DC06F17">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1、材料质量要求</w:t>
      </w:r>
    </w:p>
    <w:p w14:paraId="7F2BBABD">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铝合金板材化学成分、板材牌号、规格、力学性能（按国际要求抗拉强度应不小于289.3Mpa，屈服点不小于241.2Mpa，延伸率不小于4%~10%。）应符合GB/T3190，GB/T3880</w:t>
      </w:r>
      <w:r>
        <w:rPr>
          <w:rFonts w:hint="eastAsia" w:asciiTheme="minorEastAsia" w:hAnsiTheme="minorEastAsia" w:cstheme="minorEastAsia"/>
          <w:sz w:val="24"/>
          <w:szCs w:val="24"/>
          <w:lang w:val="en-US" w:eastAsia="zh-CN"/>
        </w:rPr>
        <w:t>.1~3</w:t>
      </w:r>
      <w:r>
        <w:rPr>
          <w:rFonts w:hint="eastAsia" w:asciiTheme="minorEastAsia" w:hAnsiTheme="minorEastAsia" w:eastAsiaTheme="minorEastAsia" w:cstheme="minorEastAsia"/>
          <w:sz w:val="24"/>
          <w:szCs w:val="24"/>
        </w:rPr>
        <w:t>的规定。</w:t>
      </w:r>
    </w:p>
    <w:p w14:paraId="01EB8546">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cstheme="minorEastAsia"/>
          <w:sz w:val="24"/>
          <w:szCs w:val="24"/>
          <w:lang w:val="en-US" w:eastAsia="zh-CN"/>
        </w:rPr>
        <w:t>2</w:t>
      </w:r>
      <w:r>
        <w:rPr>
          <w:rFonts w:hint="eastAsia" w:asciiTheme="minorEastAsia" w:hAnsiTheme="minorEastAsia" w:eastAsiaTheme="minorEastAsia" w:cstheme="minorEastAsia"/>
          <w:sz w:val="24"/>
          <w:szCs w:val="24"/>
        </w:rPr>
        <w:t>、版面反光材料要求</w:t>
      </w:r>
    </w:p>
    <w:p w14:paraId="51686BDE">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反光材料应符合设计规定的等级要求，参照《道路交通反光膜》GB/T 18833-2012.。反光膜的表面规则的分布有菱形的密封结构，采用“全棱镜”反光技术，不含金属镀层，具有优异的大入射角和大观察角性能。厂家必须提供书面的十年质量担保，确保十年内标志牌的字膜和底膜的逆反射系数不低于初始值的80%。</w:t>
      </w:r>
    </w:p>
    <w:p w14:paraId="4D876C41">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cstheme="minorEastAsia"/>
          <w:sz w:val="24"/>
          <w:szCs w:val="24"/>
          <w:lang w:val="en-US" w:eastAsia="zh-CN"/>
        </w:rPr>
        <w:t>3</w:t>
      </w:r>
      <w:r>
        <w:rPr>
          <w:rFonts w:hint="eastAsia" w:asciiTheme="minorEastAsia" w:hAnsiTheme="minorEastAsia" w:eastAsiaTheme="minorEastAsia" w:cstheme="minorEastAsia"/>
          <w:sz w:val="24"/>
          <w:szCs w:val="24"/>
        </w:rPr>
        <w:t>、施工质量要求</w:t>
      </w:r>
    </w:p>
    <w:p w14:paraId="0B9951D0">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（1）标志现场施工质量应达到《公路工程质量检测评定标准》（JTGF80</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-20</w:t>
      </w:r>
      <w:r>
        <w:rPr>
          <w:rFonts w:hint="eastAsia" w:asciiTheme="minorEastAsia" w:hAnsiTheme="minorEastAsia" w:eastAsiaTheme="minorEastAsia" w:cstheme="minorEastAsia"/>
          <w:sz w:val="24"/>
          <w:szCs w:val="24"/>
          <w:lang w:val="en-US" w:eastAsia="zh-CN"/>
        </w:rPr>
        <w:t>17</w:t>
      </w:r>
      <w:r>
        <w:rPr>
          <w:rFonts w:hint="eastAsia" w:asciiTheme="minorEastAsia" w:hAnsiTheme="minorEastAsia" w:eastAsiaTheme="minorEastAsia" w:cstheme="minorEastAsia"/>
          <w:sz w:val="24"/>
          <w:szCs w:val="24"/>
        </w:rPr>
        <w:t>）的要求基本要求如下：</w:t>
      </w:r>
    </w:p>
    <w:p w14:paraId="60FBB757">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（2）交通标志的制作应符合《道路交通标志标线 第二部分；道路交通标志》（</w:t>
      </w:r>
      <w:r>
        <w:rPr>
          <w:rFonts w:hint="eastAsia" w:asciiTheme="minorEastAsia" w:hAnsiTheme="minorEastAsia" w:cstheme="minorEastAsia"/>
          <w:sz w:val="24"/>
          <w:szCs w:val="24"/>
          <w:lang w:eastAsia="zh-CN"/>
        </w:rPr>
        <w:t>GB5768.2-2022</w:t>
      </w:r>
      <w:r>
        <w:rPr>
          <w:rFonts w:hint="eastAsia" w:asciiTheme="minorEastAsia" w:hAnsiTheme="minorEastAsia" w:eastAsiaTheme="minorEastAsia" w:cstheme="minorEastAsia"/>
          <w:sz w:val="24"/>
          <w:szCs w:val="24"/>
        </w:rPr>
        <w:t>）的规定。</w:t>
      </w:r>
    </w:p>
    <w:p w14:paraId="176BF8BC">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（3）交通标志在运输、安装的过程中不应损伤标志面和金属构件的镀层</w:t>
      </w:r>
    </w:p>
    <w:p w14:paraId="3DDF58F5">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（4）标志的位置、数量及安装的角度应符合设计要求</w:t>
      </w:r>
    </w:p>
    <w:p w14:paraId="6796E719">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（5）大型标志的地基承载力应符合设计要求。大型标志柱、梁的焊接部位应符合钢结构焊接规范的质量要求</w:t>
      </w:r>
    </w:p>
    <w:p w14:paraId="7C688E6D">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（6）标志表面应平整完好，无起皱、开裂、缺损或凹凸变形。标志面任一处面积为50cm×50cm的表面上，不得存在总面积大于10mm</w:t>
      </w:r>
      <w:r>
        <w:rPr>
          <w:rFonts w:hint="eastAsia" w:asciiTheme="minorEastAsia" w:hAnsiTheme="minorEastAsia" w:eastAsiaTheme="minorEastAsia" w:cstheme="minorEastAsia"/>
          <w:sz w:val="24"/>
          <w:szCs w:val="24"/>
          <w:vertAlign w:val="superscript"/>
        </w:rPr>
        <w:t>2</w:t>
      </w:r>
      <w:r>
        <w:rPr>
          <w:rFonts w:hint="eastAsia" w:asciiTheme="minorEastAsia" w:hAnsiTheme="minorEastAsia" w:eastAsiaTheme="minorEastAsia" w:cstheme="minorEastAsia"/>
          <w:sz w:val="24"/>
          <w:szCs w:val="24"/>
        </w:rPr>
        <w:t>或一个以上的气泡。</w:t>
      </w:r>
    </w:p>
    <w:p w14:paraId="1AA0166F">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反光膜应尽可能减少拼接，任何标志的字符、图案不允许拼接，当标志板的长度或宽度、圆形标志的直径小于反光膜产品的最大宽度时，底模不应有拼接缝。当黏贴反光膜不可避免出现接缝时，应按反光膜产品的最大宽度进行拼装。</w:t>
      </w:r>
    </w:p>
    <w:p w14:paraId="2A9B594C">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（8）标志柱、梁的金属构件镀层应均匀、颜色一致、不允许有流挂、滴瘤或交杂结块，镀件表面应无漏镀、缺铁等缺陷。</w:t>
      </w:r>
    </w:p>
    <w:p w14:paraId="46E7E1AF">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cstheme="minorEastAsia"/>
          <w:sz w:val="24"/>
          <w:szCs w:val="24"/>
          <w:lang w:val="en-US" w:eastAsia="zh-CN"/>
        </w:rPr>
        <w:t>4</w:t>
      </w:r>
      <w:r>
        <w:rPr>
          <w:rFonts w:hint="eastAsia" w:asciiTheme="minorEastAsia" w:hAnsiTheme="minorEastAsia" w:eastAsiaTheme="minorEastAsia" w:cstheme="minorEastAsia"/>
          <w:sz w:val="24"/>
          <w:szCs w:val="24"/>
        </w:rPr>
        <w:t>、立柱和标志牌安装</w:t>
      </w:r>
    </w:p>
    <w:p w14:paraId="233BF73E">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标志基础经养护达到设计强度的70%之后才允许进行标志立杆和标志牌安装。标志安装的要求如下：</w:t>
      </w:r>
    </w:p>
    <w:p w14:paraId="301529D9">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（1）立柱竖直度误差为±3mm/m。、</w:t>
      </w:r>
    </w:p>
    <w:p w14:paraId="43BF3DCF">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（2）门架水平横梁误差为±5mm/m.</w:t>
      </w:r>
    </w:p>
    <w:p w14:paraId="43D965DF">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（3）标志牌安装角度误差为±3°。</w:t>
      </w:r>
    </w:p>
    <w:p w14:paraId="3CDC4A44">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（4）标志牌下缘至路面净空（净空）误差为±50mm。</w:t>
      </w:r>
    </w:p>
    <w:p w14:paraId="190962FB">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（5）标志牌紧固螺栓安装螺母后要求有适当余量。</w:t>
      </w:r>
    </w:p>
    <w:p w14:paraId="266A7DF7">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（6）标志牌要求外观整洁、无透光、起泡、划痕和损伤，安装前用湿布擦拭干净表面的灰尘</w:t>
      </w:r>
    </w:p>
    <w:p w14:paraId="1509D4C4">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（7）立柱要求外观整洁，镀锌量符合要求，锌层无脱落、污染和损坏</w:t>
      </w:r>
    </w:p>
    <w:p w14:paraId="7EBE3BEC">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cstheme="minorEastAsia"/>
          <w:sz w:val="24"/>
          <w:szCs w:val="24"/>
          <w:lang w:val="en-US" w:eastAsia="zh-CN"/>
        </w:rPr>
        <w:t>5</w:t>
      </w:r>
      <w:r>
        <w:rPr>
          <w:rFonts w:hint="eastAsia" w:asciiTheme="minorEastAsia" w:hAnsiTheme="minorEastAsia" w:eastAsiaTheme="minorEastAsia" w:cstheme="minorEastAsia"/>
          <w:sz w:val="24"/>
          <w:szCs w:val="24"/>
        </w:rPr>
        <w:t>、材料的防锈处理</w:t>
      </w:r>
    </w:p>
    <w:p w14:paraId="3142338E">
      <w:pPr>
        <w:keepNext w:val="0"/>
        <w:keepLines w:val="0"/>
        <w:pageBreakBefore w:val="0"/>
        <w:widowControl w:val="0"/>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各类交通设施标志的杆件、螺栓、螺母一般采用牌号为Q235的钢材（A3钢）制成</w:t>
      </w:r>
      <w:r>
        <w:rPr>
          <w:rFonts w:hint="eastAsia" w:asciiTheme="minorEastAsia" w:hAnsiTheme="minorEastAsia" w:cstheme="minorEastAsia"/>
          <w:sz w:val="24"/>
          <w:szCs w:val="24"/>
          <w:lang w:eastAsia="zh-CN"/>
        </w:rPr>
        <w:t>，</w:t>
      </w:r>
      <w:r>
        <w:rPr>
          <w:rFonts w:hint="eastAsia" w:asciiTheme="minorEastAsia" w:hAnsiTheme="minorEastAsia" w:eastAsiaTheme="minorEastAsia" w:cstheme="minorEastAsia"/>
          <w:sz w:val="24"/>
          <w:szCs w:val="24"/>
        </w:rPr>
        <w:t>均应进行热镀锌处理，镀锌</w:t>
      </w:r>
      <w:r>
        <w:rPr>
          <w:rFonts w:hint="eastAsia" w:asciiTheme="minorEastAsia" w:hAnsiTheme="minorEastAsia" w:cstheme="minorEastAsia"/>
          <w:sz w:val="24"/>
          <w:szCs w:val="24"/>
          <w:lang w:val="en-US" w:eastAsia="zh-CN"/>
        </w:rPr>
        <w:t>层厚度</w:t>
      </w:r>
      <w:r>
        <w:rPr>
          <w:rFonts w:hint="eastAsia" w:asciiTheme="minorEastAsia" w:hAnsiTheme="minorEastAsia" w:eastAsiaTheme="minorEastAsia" w:cstheme="minorEastAsia"/>
          <w:sz w:val="24"/>
          <w:szCs w:val="24"/>
        </w:rPr>
        <w:t>：立柱、横梁不低于</w:t>
      </w:r>
      <w:r>
        <w:rPr>
          <w:rFonts w:hint="eastAsia" w:asciiTheme="minorEastAsia" w:hAnsiTheme="minorEastAsia" w:cstheme="minorEastAsia"/>
          <w:sz w:val="24"/>
          <w:szCs w:val="24"/>
          <w:lang w:val="en-US" w:eastAsia="zh-CN"/>
        </w:rPr>
        <w:t>84</w:t>
      </w:r>
      <w:r>
        <w:rPr>
          <w:rFonts w:hint="eastAsia" w:asciiTheme="minorEastAsia" w:hAnsiTheme="minorEastAsia" w:eastAsiaTheme="minorEastAsia" w:cstheme="minorEastAsia"/>
          <w:sz w:val="24"/>
          <w:szCs w:val="24"/>
        </w:rPr>
        <w:t>um，紧固件不低于</w:t>
      </w:r>
      <w:r>
        <w:rPr>
          <w:rFonts w:hint="eastAsia" w:asciiTheme="minorEastAsia" w:hAnsiTheme="minorEastAsia" w:cstheme="minorEastAsia"/>
          <w:sz w:val="24"/>
          <w:szCs w:val="24"/>
          <w:lang w:val="en-US" w:eastAsia="zh-CN"/>
        </w:rPr>
        <w:t>49</w:t>
      </w:r>
      <w:r>
        <w:rPr>
          <w:rFonts w:hint="eastAsia" w:asciiTheme="minorEastAsia" w:hAnsiTheme="minorEastAsia" w:eastAsiaTheme="minorEastAsia" w:cstheme="minorEastAsia"/>
          <w:sz w:val="24"/>
          <w:szCs w:val="24"/>
        </w:rPr>
        <w:t>um。立柱、等的钻孔、冲孔和车间焊接，应在钢材进行表面防腐处理之前完成。热镀锌干燥后杆件在喷涂银灰色的环氧富锌漆3度。为防盗需要螺栓安装完毕后应点焊。</w:t>
      </w:r>
    </w:p>
    <w:p w14:paraId="48A203A5">
      <w:pPr>
        <w:keepNext w:val="0"/>
        <w:keepLines w:val="0"/>
        <w:pageBreakBefore w:val="0"/>
        <w:widowControl w:val="0"/>
        <w:numPr>
          <w:ilvl w:val="0"/>
          <w:numId w:val="0"/>
        </w:numPr>
        <w:kinsoku/>
        <w:wordWrap/>
        <w:overflowPunct/>
        <w:topLinePunct w:val="0"/>
        <w:bidi w:val="0"/>
        <w:adjustRightInd/>
        <w:snapToGrid w:val="0"/>
        <w:spacing w:line="360" w:lineRule="auto"/>
        <w:ind w:firstLine="480" w:firstLineChars="200"/>
        <w:textAlignment w:val="auto"/>
        <w:rPr>
          <w:rFonts w:hint="eastAsia" w:asciiTheme="minorEastAsia" w:hAnsiTheme="minorEastAsia" w:eastAsiaTheme="minorEastAsia" w:cstheme="minorEastAsia"/>
          <w:sz w:val="24"/>
          <w:szCs w:val="24"/>
        </w:rPr>
      </w:pPr>
      <w:r>
        <w:rPr>
          <w:rFonts w:hint="eastAsia" w:asciiTheme="minorEastAsia" w:hAnsiTheme="minorEastAsia" w:cstheme="minorEastAsia"/>
          <w:sz w:val="24"/>
          <w:szCs w:val="24"/>
          <w:lang w:val="en-US" w:eastAsia="zh-CN"/>
        </w:rPr>
        <w:t>6、</w:t>
      </w:r>
      <w:r>
        <w:rPr>
          <w:rFonts w:hint="eastAsia" w:asciiTheme="minorEastAsia" w:hAnsiTheme="minorEastAsia" w:eastAsiaTheme="minorEastAsia" w:cstheme="minorEastAsia"/>
          <w:sz w:val="24"/>
          <w:szCs w:val="24"/>
        </w:rPr>
        <w:t>施工时标志牌的版面内容必须经交警部门的审核和认可方能实施。</w:t>
      </w:r>
    </w:p>
    <w:p w14:paraId="4F828F0A">
      <w:pPr>
        <w:pStyle w:val="4"/>
        <w:spacing w:beforeLines="0" w:afterLines="0"/>
        <w:rPr>
          <w:rFonts w:hint="eastAsia" w:cs="Times New Roman" w:asciiTheme="minorEastAsia" w:hAnsiTheme="minorEastAsia" w:eastAsiaTheme="minorEastAsia"/>
          <w:color w:val="auto"/>
          <w:lang w:val="en-US" w:eastAsia="zh-CN"/>
        </w:rPr>
      </w:pPr>
      <w:r>
        <w:rPr>
          <w:rFonts w:hint="eastAsia" w:cs="Times New Roman" w:asciiTheme="minorEastAsia" w:hAnsiTheme="minorEastAsia" w:eastAsiaTheme="minorEastAsia"/>
          <w:color w:val="auto"/>
          <w:lang w:val="en-US" w:eastAsia="zh-CN"/>
        </w:rPr>
        <w:t>6交通标线</w:t>
      </w:r>
    </w:p>
    <w:p w14:paraId="6B674502">
      <w:pPr>
        <w:keepNext w:val="0"/>
        <w:keepLines w:val="0"/>
        <w:pageBreakBefore w:val="0"/>
        <w:widowControl w:val="0"/>
        <w:tabs>
          <w:tab w:val="left" w:pos="475"/>
        </w:tabs>
        <w:kinsoku/>
        <w:wordWrap/>
        <w:overflowPunct/>
        <w:topLinePunct w:val="0"/>
        <w:bidi w:val="0"/>
        <w:adjustRightInd/>
        <w:spacing w:line="360" w:lineRule="auto"/>
        <w:ind w:firstLine="480"/>
        <w:textAlignment w:val="auto"/>
        <w:outlineLvl w:val="0"/>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标线的作用是管制和引导交通，可以和标志配合使用，也可以单独使用。标线应能确保车流分道行驶，导流交通行驶方向，指引车辆在汇合和分流前驶入合适的车道，加强行驶纪律和秩序，减少事故。标线应保证在白天和晚上都具有视线诱导功能，并应做到车道分界清晰，线向清楚，轮廓分明。</w:t>
      </w:r>
    </w:p>
    <w:p w14:paraId="25EEA2FD">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1、设置要求</w:t>
      </w:r>
    </w:p>
    <w:p w14:paraId="0619C6F3">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根据规范要求，按照道路车行道宽度和道路平面设计图合理布置车道以及进行车道划分。</w:t>
      </w:r>
    </w:p>
    <w:p w14:paraId="0CAA9430">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按照国标(GB 5768-2009)执行,采用环保反光热熔涂料,一般路面标线厚</w:t>
      </w:r>
      <w:r>
        <w:rPr>
          <w:rFonts w:hint="eastAsia" w:asciiTheme="minorEastAsia" w:hAnsiTheme="minorEastAsia" w:eastAsiaTheme="minorEastAsia" w:cstheme="minorEastAsia"/>
          <w:sz w:val="24"/>
          <w:szCs w:val="24"/>
          <w:lang w:val="en-US" w:eastAsia="zh-CN"/>
        </w:rPr>
        <w:t>1.8</w:t>
      </w:r>
      <w:r>
        <w:rPr>
          <w:rFonts w:hint="eastAsia" w:asciiTheme="minorEastAsia" w:hAnsiTheme="minorEastAsia" w:eastAsiaTheme="minorEastAsia" w:cstheme="minorEastAsia"/>
          <w:sz w:val="24"/>
          <w:szCs w:val="24"/>
        </w:rPr>
        <w:t>mm,横向减速标线厚度为</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mm。掺入玻璃珠采用预混玻璃珠，其质量百分比为：粒径300~600μm 为50~90%</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rPr>
        <w:t>粒径300~150μm 为5~50%，&lt;150μm 为5% 。根据沿线实际和交通特点,沿线设置的路面标线有:</w:t>
      </w:r>
    </w:p>
    <w:p w14:paraId="24F99129">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行车道边缘线: 设置于行车道边缘，线宽为15cm 的白色（黄色）实线；</w:t>
      </w:r>
    </w:p>
    <w:p w14:paraId="0B2A4747">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lang w:val="en-US" w:eastAsia="zh-CN"/>
        </w:rPr>
        <w:t>对向</w:t>
      </w:r>
      <w:r>
        <w:rPr>
          <w:rFonts w:hint="eastAsia" w:asciiTheme="minorEastAsia" w:hAnsiTheme="minorEastAsia" w:eastAsiaTheme="minorEastAsia" w:cstheme="minorEastAsia"/>
          <w:sz w:val="24"/>
          <w:szCs w:val="24"/>
        </w:rPr>
        <w:t>车行道分界线:用于分隔</w:t>
      </w:r>
      <w:r>
        <w:rPr>
          <w:rFonts w:hint="eastAsia" w:asciiTheme="minorEastAsia" w:hAnsiTheme="minorEastAsia" w:eastAsiaTheme="minorEastAsia" w:cstheme="minorEastAsia"/>
          <w:sz w:val="24"/>
          <w:szCs w:val="24"/>
          <w:lang w:val="en-US" w:eastAsia="zh-CN"/>
        </w:rPr>
        <w:t>对</w:t>
      </w:r>
      <w:r>
        <w:rPr>
          <w:rFonts w:hint="eastAsia" w:asciiTheme="minorEastAsia" w:hAnsiTheme="minorEastAsia" w:eastAsiaTheme="minorEastAsia" w:cstheme="minorEastAsia"/>
          <w:sz w:val="24"/>
          <w:szCs w:val="24"/>
        </w:rPr>
        <w:t>向行驶的车辆,设置于</w:t>
      </w:r>
      <w:r>
        <w:rPr>
          <w:rFonts w:hint="eastAsia" w:asciiTheme="minorEastAsia" w:hAnsiTheme="minorEastAsia" w:eastAsiaTheme="minorEastAsia" w:cstheme="minorEastAsia"/>
          <w:sz w:val="24"/>
          <w:szCs w:val="24"/>
          <w:lang w:val="en-US" w:eastAsia="zh-CN"/>
        </w:rPr>
        <w:t>对</w:t>
      </w:r>
      <w:r>
        <w:rPr>
          <w:rFonts w:hint="eastAsia" w:asciiTheme="minorEastAsia" w:hAnsiTheme="minorEastAsia" w:eastAsiaTheme="minorEastAsia" w:cstheme="minorEastAsia"/>
          <w:sz w:val="24"/>
          <w:szCs w:val="24"/>
        </w:rPr>
        <w:t>向车道的分界线处,线宽为15cm，采用</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m（实）-</w:t>
      </w:r>
      <w:r>
        <w:rPr>
          <w:rFonts w:hint="eastAsia" w:asciiTheme="minorEastAsia" w:hAnsiTheme="minorEastAsia" w:eastAsiaTheme="minorEastAsia" w:cstheme="minorEastAsia"/>
          <w:sz w:val="24"/>
          <w:szCs w:val="24"/>
          <w:lang w:val="en-US" w:eastAsia="zh-CN"/>
        </w:rPr>
        <w:t>6</w:t>
      </w:r>
      <w:r>
        <w:rPr>
          <w:rFonts w:hint="eastAsia" w:asciiTheme="minorEastAsia" w:hAnsiTheme="minorEastAsia" w:eastAsiaTheme="minorEastAsia" w:cstheme="minorEastAsia"/>
          <w:sz w:val="24"/>
          <w:szCs w:val="24"/>
        </w:rPr>
        <w:t>m（虚）线。</w:t>
      </w:r>
    </w:p>
    <w:p w14:paraId="468B821F">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rPr>
        <w:t>人行横道线:设置于准许行人横穿车行道处,为线宽40cm,,间距60cm 的白色实线</w:t>
      </w:r>
      <w:r>
        <w:rPr>
          <w:rFonts w:hint="eastAsia" w:asciiTheme="minorEastAsia" w:hAnsiTheme="minorEastAsia" w:eastAsiaTheme="minorEastAsia" w:cstheme="minorEastAsia"/>
          <w:sz w:val="24"/>
          <w:szCs w:val="24"/>
          <w:lang w:eastAsia="zh-CN"/>
        </w:rPr>
        <w:t>，</w:t>
      </w:r>
      <w:r>
        <w:rPr>
          <w:rFonts w:hint="eastAsia" w:asciiTheme="minorEastAsia" w:hAnsiTheme="minorEastAsia" w:eastAsiaTheme="minorEastAsia" w:cstheme="minorEastAsia"/>
          <w:sz w:val="24"/>
          <w:szCs w:val="24"/>
          <w:lang w:val="en-US" w:eastAsia="zh-CN"/>
        </w:rPr>
        <w:t>人行横道线的最小宽度为3m；本设计人行横道宽度为3m。</w:t>
      </w:r>
      <w:r>
        <w:rPr>
          <w:rFonts w:hint="eastAsia" w:asciiTheme="minorEastAsia" w:hAnsiTheme="minorEastAsia"/>
          <w:kern w:val="0"/>
          <w:sz w:val="24"/>
          <w:lang w:val="zh-CN" w:eastAsia="zh-CN"/>
        </w:rPr>
        <mc:AlternateContent>
          <mc:Choice Requires="wps">
            <w:drawing>
              <wp:anchor distT="0" distB="0" distL="114300" distR="114300" simplePos="0" relativeHeight="251679744" behindDoc="0" locked="0" layoutInCell="1" allowOverlap="1">
                <wp:simplePos x="0" y="0"/>
                <wp:positionH relativeFrom="column">
                  <wp:posOffset>1289050</wp:posOffset>
                </wp:positionH>
                <wp:positionV relativeFrom="paragraph">
                  <wp:posOffset>966470</wp:posOffset>
                </wp:positionV>
                <wp:extent cx="2213610" cy="511810"/>
                <wp:effectExtent l="0" t="0" r="0" b="0"/>
                <wp:wrapNone/>
                <wp:docPr id="45" name="矩形 45"/>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583B7F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77A149F">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76.1pt;height:40.3pt;width:174.3pt;z-index:251679744;v-text-anchor:middle;mso-width-relative:page;mso-height-relative:page;" filled="f" stroked="f" coordsize="21600,21600" o:gfxdata="UEsDBAoAAAAAAIdO4kAAAAAAAAAAAAAAAAAEAAAAZHJzL1BLAwQUAAAACACHTuJAMtlFR9kAAAAL&#10;AQAADwAAAGRycy9kb3ducmV2LnhtbE2PQUvDQBCF74L/YRnBm91NakpJsylFVOjRRhBvm+w0iWZn&#10;Q3abtv/e8aTH4Xu8+V6xvbhBzDiF3pOGZKFAIDXe9tRqeK9eHtYgQjRkzeAJNVwxwLa8vSlMbv2Z&#10;3nA+xFZwCYXcaOhiHHMpQ9OhM2HhRyRmRz85E/mcWmknc+ZyN8hUqZV0pif+0JkRnzpsvg8npyHU&#10;8766jruPr8/Q1LtnctXj/lXr+7tEbUBEvMS/MPzqszqU7FT7E9kgBg2pWvKWyCBLUxCcyLJkBaJm&#10;tEzXIMtC/t9Q/gBQSwMEFAAAAAgAh07iQOpiMCZRAgAAmAQAAA4AAABkcnMvZTJvRG9jLnhtbK1U&#10;zW4TMRC+I/EOlu9ksyEpJeqmihoFIVW0UkCcHa+dteQ/bCeb8jJI3HgIHgfxGnze3bZR4dADF2fG&#10;M/t5vm9mcnF5NJocRIjK2YqWozElwnJXK7ur6KeP61fnlMTEbM20s6KidyLSy8XLFxetn4uJa5yu&#10;RSAAsXHe+oo2Kfl5UUTeCMPiyHlhEZQuGJbghl1RB9YC3ehiMh6fFa0LtQ+Oixhxu+qDdEAMzwF0&#10;UiouVo7vjbCpRw1CswRKsVE+0kVXrZSCpxspo0hEVxRMU3fiEdjbfBaLCzbfBeYbxYcS2HNKeMLJ&#10;MGXx6APUiiVG9kH9BWUUDy46mUbcmaIn0ikCFuX4iTabhnnRcYHU0T+IHv8fLP9wuA1E1RWdziix&#10;zKDjv7/9+PXzO8EF1Gl9nCNp42/D4EWYmepRBpN/QYIcO0XvHhQVx0Q4LieT8vVZCbE5YrOyPIcN&#10;mOLxax9ieiecIdmoaEDHOiHZ4TqmPvU+JT9m3VppjXs215a0eGE2HWd8hlGUGAGYxoNOtDtKmN5h&#10;xnkKHeTJtxlyxWJDDgyDEZ1W9VCXtigvk+5pZisdt8eB+9bVd9AruH6QoudrBahrFtMtC5gclILd&#10;Sjc4pHaozw0WJY0LX/91n/PRUEQpaTGJqOfLngVBiX5v0eq35XQK2NQ509mbCZxwGtmeRuzeXDlw&#10;KrHFnndmzk/63pTBmc9YwWV+FSFmOd7uVRqcq9RvCJaYi+WyS8O4epau7cbzDN73YrlPTqquTVmo&#10;Xp1BPwxs1+hhufJGnPpd1uMfyuI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MtlFR9kAAAALAQAA&#10;DwAAAAAAAAABACAAAAAiAAAAZHJzL2Rvd25yZXYueG1sUEsBAhQAFAAAAAgAh07iQOpiMCZRAgAA&#10;mAQAAA4AAAAAAAAAAQAgAAAAKAEAAGRycy9lMm9Eb2MueG1sUEsFBgAAAAAGAAYAWQEAAOsFAAAA&#10;AA==&#10;">
                <v:fill on="f" focussize="0,0"/>
                <v:stroke on="f" weight="2pt"/>
                <v:imagedata o:title=""/>
                <o:lock v:ext="edit" aspectratio="f"/>
                <v:textbox>
                  <w:txbxContent>
                    <w:p w14:paraId="7583B7FB">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777A149F">
                      <w:pPr>
                        <w:jc w:val="center"/>
                        <w:rPr>
                          <w:color w:val="000000" w:themeColor="text1"/>
                          <w:sz w:val="28"/>
                          <w:szCs w:val="28"/>
                          <w14:textFill>
                            <w14:solidFill>
                              <w14:schemeClr w14:val="tx1"/>
                            </w14:solidFill>
                          </w14:textFill>
                        </w:rPr>
                      </w:pPr>
                    </w:p>
                  </w:txbxContent>
                </v:textbox>
              </v:rect>
            </w:pict>
          </mc:Fallback>
        </mc:AlternateContent>
      </w:r>
      <w:r>
        <w:rPr>
          <w:rFonts w:hint="eastAsia" w:asciiTheme="minorEastAsia" w:hAnsiTheme="minorEastAsia"/>
          <w:kern w:val="0"/>
          <w:sz w:val="24"/>
          <w:lang w:val="zh-CN" w:eastAsia="zh-CN"/>
        </w:rPr>
        <mc:AlternateContent>
          <mc:Choice Requires="wps">
            <w:drawing>
              <wp:anchor distT="0" distB="0" distL="114300" distR="114300" simplePos="0" relativeHeight="251671552" behindDoc="0" locked="0" layoutInCell="1" allowOverlap="1">
                <wp:simplePos x="0" y="0"/>
                <wp:positionH relativeFrom="column">
                  <wp:posOffset>8546465</wp:posOffset>
                </wp:positionH>
                <wp:positionV relativeFrom="paragraph">
                  <wp:posOffset>1098550</wp:posOffset>
                </wp:positionV>
                <wp:extent cx="648970" cy="485140"/>
                <wp:effectExtent l="0" t="0" r="0" b="0"/>
                <wp:wrapNone/>
                <wp:docPr id="37" name="矩形 37"/>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39C09520">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86.5pt;height:38.2pt;width:51.1pt;z-index:251671552;v-text-anchor:middle;mso-width-relative:page;mso-height-relative:page;" filled="f" stroked="f" coordsize="21600,21600" o:gfxdata="UEsDBAoAAAAAAIdO4kAAAAAAAAAAAAAAAAAEAAAAZHJzL1BLAwQUAAAACACHTuJAvKoiGdoAAAAN&#10;AQAADwAAAGRycy9kb3ducmV2LnhtbE2Py07DMBBF90j8gzVI7KiT1kAb4lQVAqQu2yAhdk48JIF4&#10;HMVu2v490xXs5mqO7iNfn1wvJhxD50lDOktAINXedtRoeC9f75YgQjRkTe8JNZwxwLq4vspNZv2R&#10;djjtYyPYhEJmNLQxDpmUoW7RmTDzAxL/vvzoTGQ5NtKO5sjmrpfzJHmQznTECa0Z8LnF+md/cBpC&#10;NW3L87D5+P4MdbV5IVeq7ZvWtzdp8gQi4in+wXCpz9Wh4E6VP5ANome9UPcrZvl6XPCqC6LUMgVR&#10;aZirlQJZ5PL/iuIXUEsDBBQAAAAIAIdO4kBLORCuUwIAAJcEAAAOAAAAZHJzL2Uyb0RvYy54bWyt&#10;VEtu2zAQ3RfoHQjuG9mu8zMiB0aMFAWCJkBadE1TpEWAv5K05fQyBbrrIXqcotfoI6U4RtpFFt1I&#10;M5zRG743M7q43BlNtiJE5WxNx0cjSoTlrlF2XdNPH6/fnFESE7MN086Kmj6ISC/nr19ddH4mJq51&#10;uhGBAMTGWedr2qbkZ1UVeSsMi0fOC4ugdMGwBDesqyawDuhGV5PR6KTqXGh8cFzEiNNlH6QDYngJ&#10;oJNScbF0fGOETT1qEJolUIqt8pHOy22lFDzdShlFIrqmYJrKE0Vgr/Kzml+w2Tow3yo+XIG95ArP&#10;OBmmLIruoZYsMbIJ6i8oo3hw0cl0xJ2peiJFEbAYj55pc98yLwoXSB39XvT4/2D5h+1dIKqp6dtT&#10;Siwz6Pjvbz9+/fxOcAB1Oh9nSLr3d2HwIsxMdSeDyW+QILui6MNeUbFLhOPwZHp2fgqtOULTs+Px&#10;tChePX3sQ0zvhDMkGzUNaFjRkW1vYkJBpD6m5FrWXSutS9O0JV1NJ8fTUcZnmESJCYBpPNhEu6aE&#10;6TVGnKdQIA++zZBLFluyZZiL6LRqMlcU0xavzLlnma20W+0G6ivXPECu4Po5ip5fK0DdsJjuWMDg&#10;4CpYrXSLh9QO93ODRUnrwtd/ned89BNRSjoMIu7zZcOCoES/t+j0+XgK1UgqzvT4dAInHEZWhxG7&#10;MVcOnMZYYs+LmfOTfjRlcOYzNnCRqyLELEftXqXBuUr9gmCHuVgsShqm1bN0Y+89z+B9Lxab5KQq&#10;bcpC9eoM+mFei6DDbuWFOPRL1tP/ZP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vKoiGdoAAAAN&#10;AQAADwAAAAAAAAABACAAAAAiAAAAZHJzL2Rvd25yZXYueG1sUEsBAhQAFAAAAAgAh07iQEs5EK5T&#10;AgAAlwQAAA4AAAAAAAAAAQAgAAAAKQEAAGRycy9lMm9Eb2MueG1sUEsFBgAAAAAGAAYAWQEAAO4F&#10;AAAAAA==&#10;">
                <v:fill on="f" focussize="0,0"/>
                <v:stroke on="f" weight="2pt"/>
                <v:imagedata o:title=""/>
                <o:lock v:ext="edit" aspectratio="f"/>
                <v:textbox>
                  <w:txbxContent>
                    <w:p w14:paraId="39C09520">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p w14:paraId="648E5F98">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道路平交口标线：道路平交口，当准许行人横穿行车道时，要设人行横道线、停止线、行车道中心线、车道分界线及导向箭头。路口导向车道线的长度L=30m。路口导向车道第二组导向箭头端部与导向车道线齐平，其余导向箭头按30m 间隔设置三排; 设计速度为小于</w:t>
      </w:r>
      <w:r>
        <w:rPr>
          <w:rFonts w:hint="eastAsia" w:asciiTheme="minorEastAsia" w:hAnsiTheme="minorEastAsia" w:eastAsiaTheme="minorEastAsia" w:cstheme="minorEastAsia"/>
          <w:sz w:val="24"/>
          <w:szCs w:val="24"/>
          <w:lang w:val="en-US" w:eastAsia="zh-CN"/>
        </w:rPr>
        <w:t>4</w:t>
      </w:r>
      <w:r>
        <w:rPr>
          <w:rFonts w:hint="eastAsia" w:asciiTheme="minorEastAsia" w:hAnsiTheme="minorEastAsia" w:eastAsiaTheme="minorEastAsia" w:cstheme="minorEastAsia"/>
          <w:sz w:val="24"/>
          <w:szCs w:val="24"/>
        </w:rPr>
        <w:t>0Km/h，箭头采用长度为</w:t>
      </w:r>
      <w:r>
        <w:rPr>
          <w:rFonts w:hint="eastAsia" w:asciiTheme="minorEastAsia" w:hAnsiTheme="minorEastAsia" w:eastAsiaTheme="minorEastAsia" w:cstheme="minorEastAsia"/>
          <w:sz w:val="24"/>
          <w:szCs w:val="24"/>
          <w:lang w:val="en-US" w:eastAsia="zh-CN"/>
        </w:rPr>
        <w:t>3</w:t>
      </w:r>
      <w:r>
        <w:rPr>
          <w:rFonts w:hint="eastAsia" w:asciiTheme="minorEastAsia" w:hAnsiTheme="minorEastAsia" w:eastAsiaTheme="minorEastAsia" w:cstheme="minorEastAsia"/>
          <w:sz w:val="24"/>
          <w:szCs w:val="24"/>
        </w:rPr>
        <w:t>m 标准箭头；停止线采用白色实线，线宽40cm；停止线无特别说明距人行道</w:t>
      </w:r>
      <w:r>
        <w:rPr>
          <w:rFonts w:hint="eastAsia" w:asciiTheme="minorEastAsia" w:hAnsiTheme="minorEastAsia" w:eastAsiaTheme="minorEastAsia" w:cstheme="minorEastAsia"/>
          <w:sz w:val="24"/>
          <w:szCs w:val="24"/>
          <w:lang w:val="en-US" w:eastAsia="zh-CN"/>
        </w:rPr>
        <w:t>1</w:t>
      </w:r>
      <w:r>
        <w:rPr>
          <w:rFonts w:hint="eastAsia" w:asciiTheme="minorEastAsia" w:hAnsiTheme="minorEastAsia" w:eastAsiaTheme="minorEastAsia" w:cstheme="minorEastAsia"/>
          <w:sz w:val="24"/>
          <w:szCs w:val="24"/>
        </w:rPr>
        <w:t>-3m;其他出入口标线、导流带、地面文字标记、减速让行标记等等按照国标要求。</w:t>
      </w:r>
    </w:p>
    <w:p w14:paraId="4E440520">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2、标线技术要求</w:t>
      </w:r>
    </w:p>
    <w:p w14:paraId="66DE5B1E">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道路标线涂料采用环保反光热熔涂料涂划。标线涂料应符合《道路交通标志标线</w:t>
      </w:r>
    </w:p>
    <w:p w14:paraId="77CED522">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第三部分；道路交通标线》（GB5768.3-2009）、《</w:t>
      </w:r>
      <w:r>
        <w:rPr>
          <w:rFonts w:hint="eastAsia" w:asciiTheme="minorEastAsia" w:hAnsiTheme="minorEastAsia" w:eastAsiaTheme="minorEastAsia" w:cstheme="minorEastAsia"/>
          <w:color w:val="000000"/>
          <w:kern w:val="0"/>
          <w:sz w:val="24"/>
          <w:szCs w:val="24"/>
        </w:rPr>
        <w:t>路面标线涂料</w:t>
      </w:r>
      <w:r>
        <w:rPr>
          <w:rFonts w:hint="eastAsia" w:asciiTheme="minorEastAsia" w:hAnsiTheme="minorEastAsia" w:eastAsiaTheme="minorEastAsia" w:cstheme="minorEastAsia"/>
          <w:sz w:val="24"/>
          <w:szCs w:val="24"/>
        </w:rPr>
        <w:t>》（JT/T280-20</w:t>
      </w:r>
      <w:r>
        <w:rPr>
          <w:rFonts w:hint="eastAsia" w:asciiTheme="minorEastAsia" w:hAnsiTheme="minorEastAsia" w:eastAsiaTheme="minorEastAsia" w:cstheme="minorEastAsia"/>
          <w:sz w:val="24"/>
          <w:szCs w:val="24"/>
          <w:lang w:val="en-US" w:eastAsia="zh-CN"/>
        </w:rPr>
        <w:t>20</w:t>
      </w:r>
      <w:r>
        <w:rPr>
          <w:rFonts w:hint="eastAsia" w:asciiTheme="minorEastAsia" w:hAnsiTheme="minorEastAsia" w:eastAsiaTheme="minorEastAsia" w:cstheme="minorEastAsia"/>
          <w:sz w:val="24"/>
          <w:szCs w:val="24"/>
        </w:rPr>
        <w:t>）的有关规定。</w:t>
      </w:r>
    </w:p>
    <w:p w14:paraId="1B9E9A64">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 道路涂料喷涂前应仔细清洁路面，保证路面干燥、无起灰现象。</w:t>
      </w:r>
    </w:p>
    <w:p w14:paraId="0AFCB231">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 路面标线的颜色、形状和设置位置应符合《道路交通标志和标线 第三部分；道路交通标线》（GB5768.3-2009）的规范和设计要求。</w:t>
      </w:r>
    </w:p>
    <w:p w14:paraId="0F685D0E">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 标线施工污染路面应及时清理。</w:t>
      </w:r>
    </w:p>
    <w:p w14:paraId="25EF2956">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（5） 标线线形应流畅，与道路相协调，曲线圆滑，不允许出现折线。</w:t>
      </w:r>
    </w:p>
    <w:p w14:paraId="75FF3C2E">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（6） 反光标线玻璃珠应撒播均匀，附着牢固，反光均匀。</w:t>
      </w:r>
    </w:p>
    <w:p w14:paraId="516B5DFF">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（7） 标线表面不应出现网状裂缝，起泡现象。</w:t>
      </w:r>
    </w:p>
    <w:p w14:paraId="08709B3B">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3、施工过程中的注意事项</w:t>
      </w:r>
    </w:p>
    <w:p w14:paraId="3FEDBF59">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 标线施工前，应对标线、图形、文字的位置进行测量和放线，定出精确的位置，</w:t>
      </w:r>
    </w:p>
    <w:p w14:paraId="4853BA04">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再按图复核无误后才能敷设底漆，进行划线。</w:t>
      </w:r>
    </w:p>
    <w:p w14:paraId="23180F4B">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（2） 控制涂料及玻璃珠的材料品质、控制路面干燥清洁、控制底漆均匀到位、控制水</w:t>
      </w:r>
    </w:p>
    <w:p w14:paraId="31863999">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线线形顺直及位置正确、控制划线机行走线形顺直及位置正确。</w:t>
      </w:r>
    </w:p>
    <w:p w14:paraId="3C688068">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（3） 车道的划分见图中标注（线中至线中标注）。道路的平面宽度不规则的路段原则按</w:t>
      </w:r>
    </w:p>
    <w:p w14:paraId="6E9D4EC5">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车道平均分配划线。（车道尺寸与虚线间距单位为米，标线、导向箭头和路面文字的厚度为</w:t>
      </w:r>
      <w:r>
        <w:rPr>
          <w:rFonts w:hint="eastAsia" w:asciiTheme="minorEastAsia" w:hAnsiTheme="minorEastAsia" w:cstheme="minorEastAsia"/>
          <w:sz w:val="24"/>
          <w:szCs w:val="24"/>
          <w:lang w:val="en-US" w:eastAsia="zh-CN"/>
        </w:rPr>
        <w:t>1.8</w:t>
      </w:r>
      <w:r>
        <w:rPr>
          <w:rFonts w:hint="eastAsia" w:asciiTheme="minorEastAsia" w:hAnsiTheme="minorEastAsia" w:eastAsiaTheme="minorEastAsia" w:cstheme="minorEastAsia"/>
          <w:sz w:val="24"/>
          <w:szCs w:val="24"/>
        </w:rPr>
        <w:t>mm）。</w:t>
      </w:r>
    </w:p>
    <w:p w14:paraId="79172929">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（4） 敷设标线的路面表面应清洁干燥，在水泥砼和旧沥青路面辐敷设标线时，需要预</w:t>
      </w:r>
    </w:p>
    <w:p w14:paraId="19992D8C">
      <w:pPr>
        <w:keepNext w:val="0"/>
        <w:keepLines w:val="0"/>
        <w:pageBreakBefore w:val="0"/>
        <w:widowControl w:val="0"/>
        <w:kinsoku/>
        <w:wordWrap/>
        <w:overflowPunct/>
        <w:topLinePunct w:val="0"/>
        <w:bidi w:val="0"/>
        <w:adjustRightInd/>
        <w:spacing w:line="360" w:lineRule="auto"/>
        <w:ind w:left="0" w:leftChars="0" w:firstLine="0" w:firstLineChars="0"/>
        <w:textAlignment w:val="auto"/>
        <w:rPr>
          <w:rFonts w:hint="eastAsia"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涂底油，水泥砼和沥青路面的下涂剂不能混用。</w:t>
      </w:r>
    </w:p>
    <w:p w14:paraId="29AF1723">
      <w:pPr>
        <w:keepNext w:val="0"/>
        <w:keepLines w:val="0"/>
        <w:pageBreakBefore w:val="0"/>
        <w:widowControl w:val="0"/>
        <w:kinsoku/>
        <w:wordWrap/>
        <w:overflowPunct/>
        <w:topLinePunct w:val="0"/>
        <w:autoSpaceDE w:val="0"/>
        <w:autoSpaceDN w:val="0"/>
        <w:bidi w:val="0"/>
        <w:adjustRightInd/>
        <w:spacing w:line="360" w:lineRule="auto"/>
        <w:ind w:firstLine="482"/>
        <w:textAlignment w:val="auto"/>
        <w:rPr>
          <w:rFonts w:hint="eastAsia" w:asciiTheme="minorEastAsia" w:hAnsiTheme="minorEastAsia" w:eastAsiaTheme="minorEastAsia" w:cstheme="minorEastAsia"/>
          <w:b/>
          <w:sz w:val="24"/>
          <w:szCs w:val="24"/>
          <w:lang w:val="sq-AL"/>
        </w:rPr>
      </w:pPr>
      <w:r>
        <w:rPr>
          <w:rFonts w:hint="eastAsia" w:asciiTheme="minorEastAsia" w:hAnsiTheme="minorEastAsia" w:eastAsiaTheme="minorEastAsia" w:cstheme="minorEastAsia"/>
          <w:b/>
          <w:sz w:val="24"/>
          <w:szCs w:val="24"/>
          <w:lang w:val="en-US" w:eastAsia="zh-CN"/>
        </w:rPr>
        <w:t>2</w:t>
      </w:r>
      <w:r>
        <w:rPr>
          <w:rFonts w:hint="eastAsia" w:asciiTheme="minorEastAsia" w:hAnsiTheme="minorEastAsia" w:eastAsiaTheme="minorEastAsia" w:cstheme="minorEastAsia"/>
          <w:b/>
          <w:sz w:val="24"/>
          <w:szCs w:val="24"/>
          <w:lang w:val="sq-AL"/>
        </w:rPr>
        <w:t>、标线</w:t>
      </w:r>
      <w:r>
        <w:rPr>
          <w:rFonts w:hint="eastAsia" w:asciiTheme="minorEastAsia" w:hAnsiTheme="minorEastAsia" w:eastAsiaTheme="minorEastAsia" w:cstheme="minorEastAsia"/>
          <w:b/>
          <w:sz w:val="24"/>
          <w:szCs w:val="24"/>
          <w:lang w:val="en-US" w:eastAsia="zh-CN"/>
        </w:rPr>
        <w:t>材料及技术</w:t>
      </w:r>
      <w:r>
        <w:rPr>
          <w:rFonts w:hint="eastAsia" w:asciiTheme="minorEastAsia" w:hAnsiTheme="minorEastAsia" w:eastAsiaTheme="minorEastAsia" w:cstheme="minorEastAsia"/>
          <w:b/>
          <w:sz w:val="24"/>
          <w:szCs w:val="24"/>
          <w:lang w:val="sq-AL"/>
        </w:rPr>
        <w:t>要求</w:t>
      </w:r>
    </w:p>
    <w:p w14:paraId="404CF62B">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（1）</w:t>
      </w:r>
      <w:r>
        <w:rPr>
          <w:rFonts w:hint="eastAsia" w:asciiTheme="minorEastAsia" w:hAnsiTheme="minorEastAsia" w:eastAsiaTheme="minorEastAsia" w:cstheme="minorEastAsia"/>
          <w:kern w:val="0"/>
          <w:sz w:val="24"/>
          <w:szCs w:val="24"/>
          <w:highlight w:val="none"/>
          <w:lang w:val="en-US" w:eastAsia="zh-CN"/>
        </w:rPr>
        <w:t>路面标线材料质量应符合</w:t>
      </w:r>
      <w:r>
        <w:rPr>
          <w:rFonts w:hint="eastAsia" w:asciiTheme="minorEastAsia" w:hAnsiTheme="minorEastAsia" w:eastAsiaTheme="minorEastAsia" w:cstheme="minorEastAsia"/>
          <w:kern w:val="0"/>
          <w:sz w:val="24"/>
          <w:szCs w:val="24"/>
          <w:highlight w:val="none"/>
        </w:rPr>
        <w:t>《路面标线涂料》JT/T280-2022</w:t>
      </w:r>
      <w:r>
        <w:rPr>
          <w:rFonts w:hint="eastAsia" w:asciiTheme="minorEastAsia" w:hAnsiTheme="minorEastAsia" w:eastAsiaTheme="minorEastAsia" w:cstheme="minorEastAsia"/>
          <w:kern w:val="0"/>
          <w:sz w:val="24"/>
          <w:szCs w:val="24"/>
          <w:highlight w:val="none"/>
          <w:lang w:val="en-US" w:eastAsia="zh-CN"/>
        </w:rPr>
        <w:t>的要求，</w:t>
      </w:r>
      <w:r>
        <w:rPr>
          <w:rFonts w:hint="eastAsia" w:asciiTheme="minorEastAsia" w:hAnsiTheme="minorEastAsia" w:eastAsiaTheme="minorEastAsia" w:cstheme="minorEastAsia"/>
          <w:kern w:val="0"/>
          <w:sz w:val="24"/>
          <w:szCs w:val="24"/>
          <w:highlight w:val="none"/>
        </w:rPr>
        <w:t>现场施工质量应符合《公路工程质量检验评定标准》（JTG F80-</w:t>
      </w:r>
      <w:r>
        <w:rPr>
          <w:rFonts w:hint="eastAsia" w:asciiTheme="minorEastAsia" w:hAnsiTheme="minorEastAsia" w:eastAsiaTheme="minorEastAsia" w:cstheme="minorEastAsia"/>
          <w:kern w:val="0"/>
          <w:sz w:val="24"/>
          <w:szCs w:val="24"/>
          <w:highlight w:val="none"/>
          <w:lang w:val="en-US" w:eastAsia="zh-CN"/>
        </w:rPr>
        <w:t>2017</w:t>
      </w:r>
      <w:r>
        <w:rPr>
          <w:rFonts w:hint="eastAsia" w:asciiTheme="minorEastAsia" w:hAnsiTheme="minorEastAsia" w:eastAsiaTheme="minorEastAsia" w:cstheme="minorEastAsia"/>
          <w:kern w:val="0"/>
          <w:sz w:val="24"/>
          <w:szCs w:val="24"/>
          <w:highlight w:val="none"/>
        </w:rPr>
        <w:t>）的要求。</w:t>
      </w:r>
    </w:p>
    <w:p w14:paraId="64ACB693">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（2）路面标线喷涂前，应仔细清洁路面，保证表面干燥、无起灰现象。</w:t>
      </w:r>
    </w:p>
    <w:p w14:paraId="276E41DC">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（3）路面标线的颜色、形状和设置位置应符合《道路交通标志和标线》（GB5768-2009）的规范和设计要求。</w:t>
      </w:r>
    </w:p>
    <w:p w14:paraId="575B9F4D">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（4）标线施工污染路面应及时清理。</w:t>
      </w:r>
    </w:p>
    <w:p w14:paraId="0EFB825D">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 xml:space="preserve">（5）标线线形应流畅，与道路线形相协调，曲线圆滑，不允许出现折线。     </w:t>
      </w:r>
    </w:p>
    <w:p w14:paraId="0C4D7E46">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（6）反光标线玻璃珠应撒布均匀，附着牢固，反光均匀</w:t>
      </w:r>
      <w:r>
        <w:rPr>
          <w:rFonts w:hint="eastAsia" w:asciiTheme="minorEastAsia" w:hAnsiTheme="minorEastAsia" w:eastAsiaTheme="minorEastAsia" w:cstheme="minorEastAsia"/>
          <w:kern w:val="0"/>
          <w:sz w:val="24"/>
          <w:szCs w:val="24"/>
          <w:highlight w:val="none"/>
          <w:lang w:eastAsia="zh-CN"/>
        </w:rPr>
        <w:t>，</w:t>
      </w:r>
      <w:r>
        <w:rPr>
          <w:rFonts w:hint="eastAsia" w:asciiTheme="minorEastAsia" w:hAnsiTheme="minorEastAsia" w:eastAsiaTheme="minorEastAsia" w:cstheme="minorEastAsia"/>
          <w:kern w:val="0"/>
          <w:sz w:val="24"/>
          <w:szCs w:val="24"/>
          <w:highlight w:val="none"/>
          <w:lang w:val="en-US" w:eastAsia="zh-CN"/>
        </w:rPr>
        <w:t>预混玻璃珠含量应不低于30%</w:t>
      </w:r>
      <w:r>
        <w:rPr>
          <w:rFonts w:hint="eastAsia" w:asciiTheme="minorEastAsia" w:hAnsiTheme="minorEastAsia" w:eastAsiaTheme="minorEastAsia" w:cstheme="minorEastAsia"/>
          <w:kern w:val="0"/>
          <w:sz w:val="24"/>
          <w:szCs w:val="24"/>
          <w:highlight w:val="none"/>
        </w:rPr>
        <w:t>。</w:t>
      </w:r>
    </w:p>
    <w:p w14:paraId="34F15947">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（7）标线表面不应出现网状裂缝，起泡现象。</w:t>
      </w:r>
    </w:p>
    <w:p w14:paraId="040DB29D">
      <w:pPr>
        <w:keepNext w:val="0"/>
        <w:keepLines w:val="0"/>
        <w:pageBreakBefore w:val="0"/>
        <w:widowControl w:val="0"/>
        <w:numPr>
          <w:ilvl w:val="0"/>
          <w:numId w:val="0"/>
        </w:numPr>
        <w:kinsoku/>
        <w:wordWrap/>
        <w:overflowPunct/>
        <w:topLinePunct w:val="0"/>
        <w:autoSpaceDE w:val="0"/>
        <w:autoSpaceDN w:val="0"/>
        <w:bidi w:val="0"/>
        <w:adjustRightInd/>
        <w:spacing w:line="360" w:lineRule="auto"/>
        <w:ind w:left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8</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rPr>
        <w:t>涂料的品质必须符合《路面标线涂料》JT/T280-2022</w:t>
      </w:r>
      <w:r>
        <w:rPr>
          <w:rFonts w:hint="eastAsia" w:asciiTheme="minorEastAsia" w:hAnsiTheme="minorEastAsia" w:eastAsiaTheme="minorEastAsia" w:cstheme="minorEastAsia"/>
          <w:bCs/>
          <w:sz w:val="24"/>
          <w:szCs w:val="24"/>
          <w:highlight w:val="none"/>
          <w:lang w:val="en-US" w:eastAsia="zh-CN"/>
        </w:rPr>
        <w:t>表3的规定，主要规定</w:t>
      </w:r>
      <w:r>
        <w:rPr>
          <w:rFonts w:hint="eastAsia" w:asciiTheme="minorEastAsia" w:hAnsiTheme="minorEastAsia" w:eastAsiaTheme="minorEastAsia" w:cstheme="minorEastAsia"/>
          <w:bCs/>
          <w:sz w:val="24"/>
          <w:szCs w:val="24"/>
          <w:highlight w:val="none"/>
        </w:rPr>
        <w:t>如下：</w:t>
      </w:r>
    </w:p>
    <w:p w14:paraId="5CC93F01">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涂</w:t>
      </w:r>
      <w:r>
        <w:rPr>
          <w:rFonts w:hint="eastAsia" w:asciiTheme="minorEastAsia" w:hAnsiTheme="minorEastAsia" w:eastAsiaTheme="minorEastAsia" w:cstheme="minorEastAsia"/>
          <w:bCs/>
          <w:sz w:val="24"/>
          <w:szCs w:val="24"/>
          <w:highlight w:val="none"/>
          <w:lang w:val="en-US" w:eastAsia="zh-CN"/>
        </w:rPr>
        <w:t>层</w:t>
      </w:r>
      <w:r>
        <w:rPr>
          <w:rFonts w:hint="eastAsia" w:asciiTheme="minorEastAsia" w:hAnsiTheme="minorEastAsia" w:eastAsiaTheme="minorEastAsia" w:cstheme="minorEastAsia"/>
          <w:bCs/>
          <w:sz w:val="24"/>
          <w:szCs w:val="24"/>
          <w:highlight w:val="none"/>
        </w:rPr>
        <w:t>外观</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干燥后，</w:t>
      </w:r>
      <w:r>
        <w:rPr>
          <w:rFonts w:hint="eastAsia" w:asciiTheme="minorEastAsia" w:hAnsiTheme="minorEastAsia" w:eastAsiaTheme="minorEastAsia" w:cstheme="minorEastAsia"/>
          <w:bCs/>
          <w:sz w:val="24"/>
          <w:szCs w:val="24"/>
          <w:highlight w:val="none"/>
        </w:rPr>
        <w:t>涂膜固化后应无皱纹、斑点、起泡、裂纹、脱落</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rPr>
        <w:t>粘</w:t>
      </w:r>
      <w:r>
        <w:rPr>
          <w:rFonts w:hint="eastAsia" w:asciiTheme="minorEastAsia" w:hAnsiTheme="minorEastAsia" w:eastAsiaTheme="minorEastAsia" w:cstheme="minorEastAsia"/>
          <w:bCs/>
          <w:sz w:val="24"/>
          <w:szCs w:val="24"/>
          <w:highlight w:val="none"/>
          <w:lang w:val="en-US" w:eastAsia="zh-CN"/>
        </w:rPr>
        <w:t>胎等</w:t>
      </w:r>
      <w:r>
        <w:rPr>
          <w:rFonts w:hint="eastAsia" w:asciiTheme="minorEastAsia" w:hAnsiTheme="minorEastAsia" w:eastAsiaTheme="minorEastAsia" w:cstheme="minorEastAsia"/>
          <w:bCs/>
          <w:sz w:val="24"/>
          <w:szCs w:val="24"/>
          <w:highlight w:val="none"/>
        </w:rPr>
        <w:t>现象，</w:t>
      </w:r>
      <w:r>
        <w:rPr>
          <w:rFonts w:hint="eastAsia" w:asciiTheme="minorEastAsia" w:hAnsiTheme="minorEastAsia" w:eastAsiaTheme="minorEastAsia" w:cstheme="minorEastAsia"/>
          <w:bCs/>
          <w:sz w:val="24"/>
          <w:szCs w:val="24"/>
          <w:highlight w:val="none"/>
          <w:lang w:val="en-US" w:eastAsia="zh-CN"/>
        </w:rPr>
        <w:t>颜色均匀一致</w:t>
      </w:r>
      <w:r>
        <w:rPr>
          <w:rFonts w:hint="eastAsia" w:asciiTheme="minorEastAsia" w:hAnsiTheme="minorEastAsia" w:eastAsiaTheme="minorEastAsia" w:cstheme="minorEastAsia"/>
          <w:bCs/>
          <w:sz w:val="24"/>
          <w:szCs w:val="24"/>
          <w:highlight w:val="none"/>
        </w:rPr>
        <w:t>；</w:t>
      </w:r>
    </w:p>
    <w:p w14:paraId="26787BE0">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色度性能：</w:t>
      </w:r>
      <w:r>
        <w:rPr>
          <w:rFonts w:hint="eastAsia" w:asciiTheme="minorEastAsia" w:hAnsiTheme="minorEastAsia" w:eastAsiaTheme="minorEastAsia" w:cstheme="minorEastAsia"/>
          <w:bCs/>
          <w:sz w:val="24"/>
          <w:szCs w:val="24"/>
          <w:highlight w:val="none"/>
          <w:lang w:val="en-US" w:eastAsia="zh-CN"/>
        </w:rPr>
        <w:t>应符合GB 2893-2008和GB/T 8416-2003的要求，</w:t>
      </w:r>
      <w:r>
        <w:rPr>
          <w:rFonts w:hint="eastAsia" w:asciiTheme="minorEastAsia" w:hAnsiTheme="minorEastAsia" w:eastAsiaTheme="minorEastAsia" w:cstheme="minorEastAsia"/>
          <w:bCs/>
          <w:sz w:val="24"/>
          <w:szCs w:val="24"/>
          <w:highlight w:val="none"/>
        </w:rPr>
        <w:t>按JT/T 280-2022标准6.</w:t>
      </w:r>
      <w:r>
        <w:rPr>
          <w:rFonts w:hint="eastAsia" w:asciiTheme="minorEastAsia" w:hAnsiTheme="minorEastAsia" w:eastAsiaTheme="minorEastAsia" w:cstheme="minorEastAsia"/>
          <w:bCs/>
          <w:sz w:val="24"/>
          <w:szCs w:val="24"/>
          <w:highlight w:val="none"/>
          <w:lang w:val="en-US" w:eastAsia="zh-CN"/>
        </w:rPr>
        <w:t>1.9</w:t>
      </w:r>
      <w:r>
        <w:rPr>
          <w:rFonts w:hint="eastAsia" w:asciiTheme="minorEastAsia" w:hAnsiTheme="minorEastAsia" w:eastAsiaTheme="minorEastAsia" w:cstheme="minorEastAsia"/>
          <w:bCs/>
          <w:sz w:val="24"/>
          <w:szCs w:val="24"/>
          <w:highlight w:val="none"/>
        </w:rPr>
        <w:t>规定的方法测试；涂膜颜色（白色或黄色）的色品坐标和光反射比应符合下表规定的范围。</w:t>
      </w:r>
    </w:p>
    <w:p w14:paraId="3B6695C5">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耐水性：在水中浸24h应无</w:t>
      </w:r>
      <w:r>
        <w:rPr>
          <w:rFonts w:hint="eastAsia" w:asciiTheme="minorEastAsia" w:hAnsiTheme="minorEastAsia" w:eastAsiaTheme="minorEastAsia" w:cstheme="minorEastAsia"/>
          <w:bCs/>
          <w:sz w:val="24"/>
          <w:szCs w:val="24"/>
          <w:highlight w:val="none"/>
          <w:lang w:val="en-US" w:eastAsia="zh-CN"/>
        </w:rPr>
        <w:t>变色、起皱、起泡、开裂等</w:t>
      </w:r>
      <w:r>
        <w:rPr>
          <w:rFonts w:hint="eastAsia" w:asciiTheme="minorEastAsia" w:hAnsiTheme="minorEastAsia" w:eastAsiaTheme="minorEastAsia" w:cstheme="minorEastAsia"/>
          <w:bCs/>
          <w:sz w:val="24"/>
          <w:szCs w:val="24"/>
          <w:highlight w:val="none"/>
        </w:rPr>
        <w:t>异常现象；</w:t>
      </w:r>
    </w:p>
    <w:p w14:paraId="26622370">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耐碱性：在氢氧化钙饱和溶液中浸泡24h无</w:t>
      </w:r>
      <w:r>
        <w:rPr>
          <w:rFonts w:hint="eastAsia" w:asciiTheme="minorEastAsia" w:hAnsiTheme="minorEastAsia" w:eastAsiaTheme="minorEastAsia" w:cstheme="minorEastAsia"/>
          <w:bCs/>
          <w:sz w:val="24"/>
          <w:szCs w:val="24"/>
          <w:highlight w:val="none"/>
          <w:lang w:val="en-US" w:eastAsia="zh-CN"/>
        </w:rPr>
        <w:t>变色、起皱、起泡、开裂等</w:t>
      </w:r>
      <w:r>
        <w:rPr>
          <w:rFonts w:hint="eastAsia" w:asciiTheme="minorEastAsia" w:hAnsiTheme="minorEastAsia" w:eastAsiaTheme="minorEastAsia" w:cstheme="minorEastAsia"/>
          <w:bCs/>
          <w:sz w:val="24"/>
          <w:szCs w:val="24"/>
          <w:highlight w:val="none"/>
        </w:rPr>
        <w:t>异常现象；</w:t>
      </w:r>
    </w:p>
    <w:p w14:paraId="16AD215E">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耐候性：经人工加速耐候性试验后，试板图层不允许产生龟裂、剥落；允许轻微粉化和变色，但色品坐标应符合JT/T280-20</w:t>
      </w:r>
      <w:r>
        <w:rPr>
          <w:rFonts w:hint="eastAsia" w:asciiTheme="minorEastAsia" w:hAnsiTheme="minorEastAsia" w:eastAsiaTheme="minorEastAsia" w:cstheme="minorEastAsia"/>
          <w:bCs/>
          <w:sz w:val="24"/>
          <w:szCs w:val="24"/>
          <w:highlight w:val="none"/>
          <w:lang w:val="en-US" w:eastAsia="zh-CN"/>
        </w:rPr>
        <w:t>22表2和图1</w:t>
      </w:r>
      <w:r>
        <w:rPr>
          <w:rFonts w:hint="eastAsia" w:asciiTheme="minorEastAsia" w:hAnsiTheme="minorEastAsia" w:eastAsiaTheme="minorEastAsia" w:cstheme="minorEastAsia"/>
          <w:bCs/>
          <w:sz w:val="24"/>
          <w:szCs w:val="24"/>
          <w:highlight w:val="none"/>
        </w:rPr>
        <w:t>规定的范围，</w:t>
      </w:r>
      <w:r>
        <w:rPr>
          <w:rFonts w:hint="eastAsia" w:asciiTheme="minorEastAsia" w:hAnsiTheme="minorEastAsia" w:eastAsiaTheme="minorEastAsia" w:cstheme="minorEastAsia"/>
          <w:bCs/>
          <w:sz w:val="24"/>
          <w:szCs w:val="24"/>
          <w:highlight w:val="none"/>
          <w:lang w:val="en-US" w:eastAsia="zh-CN"/>
        </w:rPr>
        <w:t>涂层</w:t>
      </w:r>
      <w:r>
        <w:rPr>
          <w:rFonts w:hint="eastAsia" w:asciiTheme="minorEastAsia" w:hAnsiTheme="minorEastAsia" w:eastAsiaTheme="minorEastAsia" w:cstheme="minorEastAsia"/>
          <w:bCs/>
          <w:sz w:val="24"/>
          <w:szCs w:val="24"/>
          <w:highlight w:val="none"/>
        </w:rPr>
        <w:t>亮度因素变化范围不应大于JT/T280-20</w:t>
      </w:r>
      <w:r>
        <w:rPr>
          <w:rFonts w:hint="eastAsia" w:asciiTheme="minorEastAsia" w:hAnsiTheme="minorEastAsia" w:eastAsiaTheme="minorEastAsia" w:cstheme="minorEastAsia"/>
          <w:bCs/>
          <w:sz w:val="24"/>
          <w:szCs w:val="24"/>
          <w:highlight w:val="none"/>
          <w:lang w:val="en-US" w:eastAsia="zh-CN"/>
        </w:rPr>
        <w:t>22表2中规定的</w:t>
      </w:r>
      <w:r>
        <w:rPr>
          <w:rFonts w:hint="eastAsia" w:asciiTheme="minorEastAsia" w:hAnsiTheme="minorEastAsia" w:eastAsiaTheme="minorEastAsia" w:cstheme="minorEastAsia"/>
          <w:bCs/>
          <w:sz w:val="24"/>
          <w:szCs w:val="24"/>
          <w:highlight w:val="none"/>
        </w:rPr>
        <w:t>亮度因素的20%。</w:t>
      </w:r>
    </w:p>
    <w:p w14:paraId="1A10ABFE">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涂料密度：</w:t>
      </w:r>
      <w:r>
        <w:rPr>
          <w:rFonts w:hint="eastAsia" w:asciiTheme="minorEastAsia" w:hAnsiTheme="minorEastAsia" w:eastAsiaTheme="minorEastAsia" w:cstheme="minorEastAsia"/>
          <w:bCs/>
          <w:sz w:val="24"/>
          <w:szCs w:val="24"/>
          <w:highlight w:val="none"/>
          <w:lang w:val="en-US" w:eastAsia="zh-CN"/>
        </w:rPr>
        <w:t>1.8</w:t>
      </w:r>
      <w:r>
        <w:rPr>
          <w:rFonts w:hint="eastAsia" w:asciiTheme="minorEastAsia" w:hAnsiTheme="minorEastAsia" w:eastAsiaTheme="minorEastAsia" w:cstheme="minorEastAsia"/>
          <w:bCs/>
          <w:sz w:val="24"/>
          <w:szCs w:val="24"/>
          <w:highlight w:val="none"/>
        </w:rPr>
        <w:t>～2.</w:t>
      </w:r>
      <w:r>
        <w:rPr>
          <w:rFonts w:hint="eastAsia" w:asciiTheme="minorEastAsia" w:hAnsiTheme="minorEastAsia" w:eastAsiaTheme="minorEastAsia" w:cstheme="minorEastAsia"/>
          <w:bCs/>
          <w:sz w:val="24"/>
          <w:szCs w:val="24"/>
          <w:highlight w:val="none"/>
          <w:lang w:val="en-US" w:eastAsia="zh-CN"/>
        </w:rPr>
        <w:t>3</w:t>
      </w:r>
      <w:r>
        <w:rPr>
          <w:rFonts w:hint="eastAsia" w:asciiTheme="minorEastAsia" w:hAnsiTheme="minorEastAsia" w:eastAsiaTheme="minorEastAsia" w:cstheme="minorEastAsia"/>
          <w:bCs/>
          <w:sz w:val="24"/>
          <w:szCs w:val="24"/>
          <w:highlight w:val="none"/>
        </w:rPr>
        <w:t>g/cm³；</w:t>
      </w:r>
    </w:p>
    <w:p w14:paraId="4E95C279">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软化点</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100</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140°</w:t>
      </w:r>
      <w:r>
        <w:rPr>
          <w:rFonts w:hint="eastAsia" w:asciiTheme="minorEastAsia" w:hAnsiTheme="minorEastAsia" w:eastAsiaTheme="minorEastAsia" w:cstheme="minorEastAsia"/>
          <w:bCs/>
          <w:sz w:val="24"/>
          <w:szCs w:val="24"/>
          <w:highlight w:val="none"/>
        </w:rPr>
        <w:t>；</w:t>
      </w:r>
    </w:p>
    <w:p w14:paraId="7FC94E02">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不粘胎干燥时间：≤</w:t>
      </w:r>
      <w:r>
        <w:rPr>
          <w:rFonts w:hint="eastAsia" w:asciiTheme="minorEastAsia" w:hAnsiTheme="minorEastAsia" w:eastAsiaTheme="minorEastAsia" w:cstheme="minorEastAsia"/>
          <w:bCs/>
          <w:sz w:val="24"/>
          <w:szCs w:val="24"/>
          <w:highlight w:val="none"/>
          <w:lang w:val="en-US" w:eastAsia="zh-CN"/>
        </w:rPr>
        <w:t>5</w:t>
      </w:r>
      <w:r>
        <w:rPr>
          <w:rFonts w:hint="eastAsia" w:asciiTheme="minorEastAsia" w:hAnsiTheme="minorEastAsia" w:eastAsiaTheme="minorEastAsia" w:cstheme="minorEastAsia"/>
          <w:bCs/>
          <w:sz w:val="24"/>
          <w:szCs w:val="24"/>
          <w:highlight w:val="none"/>
        </w:rPr>
        <w:t>min；</w:t>
      </w:r>
    </w:p>
    <w:p w14:paraId="46ED9197">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抗压强度：（23±1℃）：≥12.0MPa；（60±2℃）：≥2.0MPa</w:t>
      </w:r>
    </w:p>
    <w:p w14:paraId="2E2F7292">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耐磨性：≤</w:t>
      </w:r>
      <w:r>
        <w:rPr>
          <w:rFonts w:hint="eastAsia" w:asciiTheme="minorEastAsia" w:hAnsiTheme="minorEastAsia" w:eastAsiaTheme="minorEastAsia" w:cstheme="minorEastAsia"/>
          <w:bCs/>
          <w:sz w:val="24"/>
          <w:szCs w:val="24"/>
          <w:highlight w:val="none"/>
          <w:lang w:val="en-US" w:eastAsia="zh-CN"/>
        </w:rPr>
        <w:t>8</w:t>
      </w:r>
      <w:r>
        <w:rPr>
          <w:rFonts w:hint="eastAsia" w:asciiTheme="minorEastAsia" w:hAnsiTheme="minorEastAsia" w:eastAsiaTheme="minorEastAsia" w:cstheme="minorEastAsia"/>
          <w:bCs/>
          <w:sz w:val="24"/>
          <w:szCs w:val="24"/>
          <w:highlight w:val="none"/>
        </w:rPr>
        <w:t>0㎎；</w:t>
      </w:r>
    </w:p>
    <w:p w14:paraId="77936406">
      <w:pPr>
        <w:pStyle w:val="3"/>
        <w:keepNext w:val="0"/>
        <w:keepLines w:val="0"/>
        <w:pageBreakBefore w:val="0"/>
        <w:widowControl w:val="0"/>
        <w:kinsoku/>
        <w:wordWrap/>
        <w:overflowPunct/>
        <w:topLinePunct w:val="0"/>
        <w:bidi w:val="0"/>
        <w:adjustRightInd/>
        <w:spacing w:line="360" w:lineRule="auto"/>
        <w:jc w:val="center"/>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kern w:val="0"/>
          <w:sz w:val="24"/>
          <w:lang w:val="zh-CN" w:eastAsia="zh-CN"/>
        </w:rPr>
        <mc:AlternateContent>
          <mc:Choice Requires="wps">
            <w:drawing>
              <wp:anchor distT="0" distB="0" distL="114300" distR="114300" simplePos="0" relativeHeight="251680768" behindDoc="0" locked="0" layoutInCell="1" allowOverlap="1">
                <wp:simplePos x="0" y="0"/>
                <wp:positionH relativeFrom="column">
                  <wp:posOffset>1289050</wp:posOffset>
                </wp:positionH>
                <wp:positionV relativeFrom="paragraph">
                  <wp:posOffset>11231880</wp:posOffset>
                </wp:positionV>
                <wp:extent cx="2213610" cy="511810"/>
                <wp:effectExtent l="0" t="0" r="0" b="0"/>
                <wp:wrapNone/>
                <wp:docPr id="46" name="矩形 46"/>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730E7D5A">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252153E3">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884.4pt;height:40.3pt;width:174.3pt;z-index:251680768;v-text-anchor:middle;mso-width-relative:page;mso-height-relative:page;" filled="f" stroked="f" coordsize="21600,21600" o:gfxdata="UEsDBAoAAAAAAIdO4kAAAAAAAAAAAAAAAAAEAAAAZHJzL1BLAwQUAAAACACHTuJAq4OAZdsAAAAN&#10;AQAADwAAAGRycy9kb3ducmV2LnhtbE2PQU+DQBCF7038D5sx8dYuVIqILE1j1KRHi4nxtrAjoOws&#10;Ybe0/feOJz3Oey9v3ldsz3YQM06+d6QgXkUgkBpnemoVvFXPywyED5qMHhyhggt62JZXi0Lnxp3o&#10;FedDaAWXkM+1gi6EMZfSNx1a7VduRGLv001WBz6nVppJn7jcDnIdRam0uif+0OkRHztsvg9Hq8DX&#10;8766jLv3rw/f1LsnslWyf1Hq5jqOHkAEPIe/MPzO5+lQ8qbaHcl4MShYR7fMEti4SzOG4MhmE6cg&#10;apay5D4BWRbyP0X5A1BLAwQUAAAACACHTuJA91y991ECAACYBAAADgAAAGRycy9lMm9Eb2MueG1s&#10;rVTNbhMxEL4j8Q6W73SzIS0l6qaKGhUhVbRSQZwdr5215D9sJ5vyMkjceAgeB/EafPZu26hw6IGL&#10;M+OZ/TzfNzM5O98bTXYiROVsQ+ujCSXCctcqu2nop4+Xr04piYnZlmlnRUPvRKTni5cvzno/F1PX&#10;Od2KQABi47z3De1S8vOqirwThsUj54VFULpgWIIbNlUbWA90o6vpZHJS9S60PjguYsTtagjSETE8&#10;B9BJqbhYOb41wqYBNQjNEijFTvlIF6VaKQVP11JGkYhuKJimcuIR2Ot8VoszNt8E5jvFxxLYc0p4&#10;wskwZfHoA9SKJUa2Qf0FZRQPLjqZjrgz1UCkKAIW9eSJNrcd86JwgdTRP4ge/x8s/7C7CUS1DZ2d&#10;UGKZQcd/f/vx6+d3gguo0/s4R9KtvwmjF2FmqnsZTP4FCbIvit49KCr2iXBcTqf165MaYnPEjuv6&#10;FDZgqsevfYjpnXCGZKOhAR0rQrLdVUxD6n1Kfsy6S6U17tlcW9LjhePZJOMzjKLECMA0HnSi3VDC&#10;9AYzzlMokAffZsgVix3ZMQxGdFq1Y13aorxMeqCZrbRf70fua9feQa/ghkGKnl8qQF2xmG5YwOSg&#10;FOxWusYhtUN9brQo6Vz4+q/7nI+GIkpJj0lEPV+2LAhK9HuLVr+tZzPApuLMjt9M4YTDyPowYrfm&#10;woFTjS32vJg5P+l7UwZnPmMFl/lVhJjleHtQaXQu0rAhWGIulsuShnH1LF3ZW88z+NCL5TY5qUqb&#10;slCDOqN+GNjS6HG58kYc+iXr8Q9l8Q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rg4Bl2wAAAA0B&#10;AAAPAAAAAAAAAAEAIAAAACIAAABkcnMvZG93bnJldi54bWxQSwECFAAUAAAACACHTuJA91y991EC&#10;AACYBAAADgAAAAAAAAABACAAAAAqAQAAZHJzL2Uyb0RvYy54bWxQSwUGAAAAAAYABgBZAQAA7QUA&#10;AAAA&#10;">
                <v:fill on="f" focussize="0,0"/>
                <v:stroke on="f" weight="2pt"/>
                <v:imagedata o:title=""/>
                <o:lock v:ext="edit" aspectratio="f"/>
                <v:textbox>
                  <w:txbxContent>
                    <w:p w14:paraId="730E7D5A">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252153E3">
                      <w:pPr>
                        <w:jc w:val="center"/>
                        <w:rPr>
                          <w:color w:val="000000" w:themeColor="text1"/>
                          <w:sz w:val="28"/>
                          <w:szCs w:val="28"/>
                          <w14:textFill>
                            <w14:solidFill>
                              <w14:schemeClr w14:val="tx1"/>
                            </w14:solidFill>
                          </w14:textFill>
                        </w:rPr>
                      </w:pPr>
                    </w:p>
                  </w:txbxContent>
                </v:textbox>
              </v:rect>
            </w:pict>
          </mc:Fallback>
        </mc:AlternateContent>
      </w:r>
      <w:r>
        <w:rPr>
          <w:rFonts w:hint="eastAsia" w:asciiTheme="minorEastAsia" w:hAnsiTheme="minorEastAsia" w:eastAsiaTheme="minorEastAsia" w:cstheme="minorEastAsia"/>
          <w:bCs/>
          <w:sz w:val="24"/>
          <w:szCs w:val="24"/>
          <w:highlight w:val="none"/>
        </w:rPr>
        <w:drawing>
          <wp:inline distT="0" distB="0" distL="114300" distR="114300">
            <wp:extent cx="6079490" cy="6089015"/>
            <wp:effectExtent l="0" t="0" r="16510" b="6985"/>
            <wp:docPr id="11" name="图片 1" descr="166736206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1667362060933"/>
                    <pic:cNvPicPr>
                      <a:picLocks noChangeAspect="1"/>
                    </pic:cNvPicPr>
                  </pic:nvPicPr>
                  <pic:blipFill>
                    <a:blip r:embed="rId18"/>
                    <a:stretch>
                      <a:fillRect/>
                    </a:stretch>
                  </pic:blipFill>
                  <pic:spPr>
                    <a:xfrm>
                      <a:off x="0" y="0"/>
                      <a:ext cx="6079490" cy="6089015"/>
                    </a:xfrm>
                    <a:prstGeom prst="rect">
                      <a:avLst/>
                    </a:prstGeom>
                    <a:noFill/>
                    <a:ln>
                      <a:noFill/>
                    </a:ln>
                  </pic:spPr>
                </pic:pic>
              </a:graphicData>
            </a:graphic>
          </wp:inline>
        </w:drawing>
      </w:r>
      <w:r>
        <w:rPr>
          <w:rFonts w:hint="eastAsia" w:asciiTheme="minorEastAsia" w:hAnsiTheme="minorEastAsia"/>
          <w:kern w:val="0"/>
          <w:sz w:val="24"/>
          <w:lang w:val="zh-CN" w:eastAsia="zh-CN"/>
        </w:rPr>
        <mc:AlternateContent>
          <mc:Choice Requires="wps">
            <w:drawing>
              <wp:anchor distT="0" distB="0" distL="114300" distR="114300" simplePos="0" relativeHeight="251672576" behindDoc="0" locked="0" layoutInCell="1" allowOverlap="1">
                <wp:simplePos x="0" y="0"/>
                <wp:positionH relativeFrom="column">
                  <wp:posOffset>8546465</wp:posOffset>
                </wp:positionH>
                <wp:positionV relativeFrom="paragraph">
                  <wp:posOffset>11363960</wp:posOffset>
                </wp:positionV>
                <wp:extent cx="648970" cy="485140"/>
                <wp:effectExtent l="0" t="0" r="0" b="0"/>
                <wp:wrapNone/>
                <wp:docPr id="38" name="矩形 38"/>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040D2195">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894.8pt;height:38.2pt;width:51.1pt;z-index:251672576;v-text-anchor:middle;mso-width-relative:page;mso-height-relative:page;" filled="f" stroked="f" coordsize="21600,21600" o:gfxdata="UEsDBAoAAAAAAIdO4kAAAAAAAAAAAAAAAAAEAAAAZHJzL1BLAwQUAAAACACHTuJALm4gZtsAAAAP&#10;AQAADwAAAGRycy9kb3ducmV2LnhtbE2PQU+DQBCF7yb+h82YeLMLSpEiS9MYNenRYmK8LewIKDtL&#10;2C1t/73TU729l/ny5r1ifbSDmHHyvSMF8SICgdQ401Or4KN6vctA+KDJ6MERKjihh3V5fVXo3LgD&#10;veO8C63gEPK5VtCFMOZS+qZDq/3CjUh8+3aT1YHt1Eoz6QOH20HeR1Eqre6JP3R6xOcOm9/d3irw&#10;9bytTuPm8+fLN/XmhWyVbN+Uur2JoycQAY/hAsO5PleHkjvVbk/Gi4H9Q7JcMcvqMVulIM5MkmQx&#10;iJpVlqYRyLKQ/3eUf1BLAwQUAAAACACHTuJAf2cuQVMCAACXBAAADgAAAGRycy9lMm9Eb2MueG1s&#10;rVRLbtswEN0X6B0I7hvZrvMzIgdGjBQFgiZAWnRNU6RFgL+StOX0MgW66yF6nKLX6COlOEbaRRbd&#10;SDOc0Ru+NzO6uNwZTbYiROVsTcdHI0qE5a5Rdl3TTx+v35xREhOzDdPOipo+iEgv569fXXR+Jiau&#10;dboRgQDExlnna9qm5GdVFXkrDItHzguLoHTBsAQ3rKsmsA7oRleT0eik6lxofHBcxIjTZR+kA2J4&#10;CaCTUnGxdHxjhE09ahCaJVCKrfKRzsttpRQ83UoZRSK6pmCayhNFYK/ys5pfsNk6MN8qPlyBveQK&#10;zzgZpiyK7qGWLDGyCeovKKN4cNHJdMSdqXoiRRGwGI+eaXPfMi8KF0gd/V70+P9g+YftXSCqqelb&#10;9N0yg47//vbj18/vBAdQp/NxhqR7fxcGL8LMVHcymPwGCbIrij7sFRW7RDgOT6Zn56fQmiM0PTse&#10;T4vi1dPHPsT0TjhDslHTgIYVHdn2JiYUROpjSq5l3bXSujRNW9LVdHI8HWV8hkmUmACYxoNNtGtK&#10;mF5jxHkKBfLg2wy5ZLElW4a5iE6rJnNFMW3xypx7ltlKu9VuoL5yzQPkCq6fo+j5tQLUDYvpjgUM&#10;Dq6C1Uq3eEjtcD83WJS0Lnz913nORz8RpaTDIOI+XzYsCEr0e4tOn4+nUI2k4kyPTydwwmFkdRix&#10;G3PlwGmMJfa8mDk/6UdTBmc+YwMXuSpCzHLU7lUanKvULwh2mIvFoqRhWj1LN/be8wze92KxSU6q&#10;0qYsVK/OoB/mtQg67FZeiEO/ZD39T+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C5uIGbbAAAA&#10;DwEAAA8AAAAAAAAAAQAgAAAAIgAAAGRycy9kb3ducmV2LnhtbFBLAQIUABQAAAAIAIdO4kB/Zy5B&#10;UwIAAJcEAAAOAAAAAAAAAAEAIAAAACoBAABkcnMvZTJvRG9jLnhtbFBLBQYAAAAABgAGAFkBAADv&#10;BQAAAAA=&#10;">
                <v:fill on="f" focussize="0,0"/>
                <v:stroke on="f" weight="2pt"/>
                <v:imagedata o:title=""/>
                <o:lock v:ext="edit" aspectratio="f"/>
                <v:textbox>
                  <w:txbxContent>
                    <w:p w14:paraId="040D2195">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p>
    <w:p w14:paraId="6BD0758B">
      <w:pPr>
        <w:pStyle w:val="3"/>
        <w:keepNext w:val="0"/>
        <w:keepLines w:val="0"/>
        <w:pageBreakBefore w:val="0"/>
        <w:widowControl w:val="0"/>
        <w:kinsoku/>
        <w:wordWrap/>
        <w:overflowPunct/>
        <w:topLinePunct w:val="0"/>
        <w:bidi w:val="0"/>
        <w:adjustRightInd/>
        <w:spacing w:line="360" w:lineRule="auto"/>
        <w:jc w:val="center"/>
        <w:textAlignment w:val="auto"/>
        <w:rPr>
          <w:rFonts w:hint="eastAsia" w:asciiTheme="minorEastAsia" w:hAnsiTheme="minorEastAsia" w:eastAsiaTheme="minorEastAsia" w:cstheme="minorEastAsia"/>
          <w:sz w:val="24"/>
          <w:szCs w:val="24"/>
          <w:highlight w:val="none"/>
          <w:lang w:eastAsia="zh-CN"/>
        </w:rPr>
      </w:pPr>
      <w:r>
        <w:rPr>
          <w:rFonts w:hint="eastAsia" w:asciiTheme="minorEastAsia" w:hAnsiTheme="minorEastAsia" w:eastAsiaTheme="minorEastAsia" w:cstheme="minorEastAsia"/>
          <w:sz w:val="24"/>
          <w:szCs w:val="24"/>
          <w:highlight w:val="none"/>
          <w:lang w:eastAsia="zh-CN"/>
        </w:rPr>
        <w:drawing>
          <wp:inline distT="0" distB="0" distL="114300" distR="114300">
            <wp:extent cx="4784725" cy="5066030"/>
            <wp:effectExtent l="0" t="0" r="15875" b="1270"/>
            <wp:docPr id="8" name="图片 2" descr="166736211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1667362110119"/>
                    <pic:cNvPicPr>
                      <a:picLocks noChangeAspect="1"/>
                    </pic:cNvPicPr>
                  </pic:nvPicPr>
                  <pic:blipFill>
                    <a:blip r:embed="rId19"/>
                    <a:stretch>
                      <a:fillRect/>
                    </a:stretch>
                  </pic:blipFill>
                  <pic:spPr>
                    <a:xfrm>
                      <a:off x="0" y="0"/>
                      <a:ext cx="4784725" cy="5066030"/>
                    </a:xfrm>
                    <a:prstGeom prst="rect">
                      <a:avLst/>
                    </a:prstGeom>
                    <a:noFill/>
                    <a:ln>
                      <a:noFill/>
                    </a:ln>
                  </pic:spPr>
                </pic:pic>
              </a:graphicData>
            </a:graphic>
          </wp:inline>
        </w:drawing>
      </w:r>
    </w:p>
    <w:p w14:paraId="24FA6389">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预混</w:t>
      </w:r>
      <w:r>
        <w:rPr>
          <w:rFonts w:hint="eastAsia" w:asciiTheme="minorEastAsia" w:hAnsiTheme="minorEastAsia" w:eastAsiaTheme="minorEastAsia" w:cstheme="minorEastAsia"/>
          <w:bCs/>
          <w:sz w:val="24"/>
          <w:szCs w:val="24"/>
          <w:highlight w:val="none"/>
        </w:rPr>
        <w:t>玻璃珠含量</w:t>
      </w:r>
      <w:r>
        <w:rPr>
          <w:rFonts w:hint="eastAsia" w:asciiTheme="minorEastAsia" w:hAnsiTheme="minorEastAsia" w:eastAsiaTheme="minorEastAsia" w:cstheme="minorEastAsia"/>
          <w:bCs/>
          <w:sz w:val="24"/>
          <w:szCs w:val="24"/>
          <w:highlight w:val="none"/>
          <w:lang w:val="en-US" w:eastAsia="zh-CN"/>
        </w:rPr>
        <w:t>:不低于30</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并符合GB/T 24722-2020预混玻璃珠的有关规定</w:t>
      </w:r>
      <w:r>
        <w:rPr>
          <w:rFonts w:hint="eastAsia" w:asciiTheme="minorEastAsia" w:hAnsiTheme="minorEastAsia" w:eastAsiaTheme="minorEastAsia" w:cstheme="minorEastAsia"/>
          <w:bCs/>
          <w:sz w:val="24"/>
          <w:szCs w:val="24"/>
          <w:highlight w:val="none"/>
        </w:rPr>
        <w:t>；</w:t>
      </w:r>
    </w:p>
    <w:p w14:paraId="2FEF7BB8">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涂层低温抗裂性</w:t>
      </w:r>
      <w:r>
        <w:rPr>
          <w:rFonts w:hint="eastAsia" w:asciiTheme="minorEastAsia" w:hAnsiTheme="minorEastAsia" w:eastAsiaTheme="minorEastAsia" w:cstheme="minorEastAsia"/>
          <w:bCs/>
          <w:sz w:val="24"/>
          <w:szCs w:val="24"/>
          <w:highlight w:val="none"/>
        </w:rPr>
        <w:t>：-10 C保持4 h,室温放置4 h为一个循环周期,连续做3个循环周期后应无裂纹；</w:t>
      </w:r>
    </w:p>
    <w:p w14:paraId="7FD2056B">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sz w:val="24"/>
          <w:szCs w:val="24"/>
          <w:highlight w:val="none"/>
          <w:lang w:eastAsia="zh-CN"/>
        </w:rPr>
      </w:pPr>
      <w:r>
        <w:rPr>
          <w:rFonts w:hint="eastAsia" w:asciiTheme="minorEastAsia" w:hAnsiTheme="minorEastAsia" w:eastAsiaTheme="minorEastAsia" w:cstheme="minorEastAsia"/>
          <w:bCs/>
          <w:sz w:val="24"/>
          <w:szCs w:val="24"/>
          <w:highlight w:val="none"/>
          <w:lang w:val="en-US" w:eastAsia="zh-CN"/>
        </w:rPr>
        <w:t>加热稳定性</w:t>
      </w:r>
      <w:r>
        <w:rPr>
          <w:rFonts w:hint="eastAsia" w:asciiTheme="minorEastAsia" w:hAnsiTheme="minorEastAsia" w:eastAsiaTheme="minorEastAsia" w:cstheme="minorEastAsia"/>
          <w:bCs/>
          <w:sz w:val="24"/>
          <w:szCs w:val="24"/>
          <w:highlight w:val="none"/>
        </w:rPr>
        <w:t>：a)在(200+10) °C 条件下持续保温4 h,无明显泛黄、焦化、结块等现象;b) 加热4 h后,涂层色品坐标应符合表2和图1规定的范围,涂层亮度因数变化范围应不大于表2规定的亮度因数的6.25%</w:t>
      </w:r>
      <w:r>
        <w:rPr>
          <w:rFonts w:hint="eastAsia" w:asciiTheme="minorEastAsia" w:hAnsiTheme="minorEastAsia" w:eastAsiaTheme="minorEastAsia" w:cstheme="minorEastAsia"/>
          <w:bCs/>
          <w:sz w:val="24"/>
          <w:szCs w:val="24"/>
          <w:highlight w:val="none"/>
          <w:lang w:eastAsia="zh-CN"/>
        </w:rPr>
        <w:t>；</w:t>
      </w:r>
    </w:p>
    <w:p w14:paraId="09743CCD">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流动度</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90±5mm²/g；50±5mm²/g</w:t>
      </w:r>
      <w:r>
        <w:rPr>
          <w:rFonts w:hint="eastAsia" w:asciiTheme="minorEastAsia" w:hAnsiTheme="minorEastAsia" w:eastAsiaTheme="minorEastAsia" w:cstheme="minorEastAsia"/>
          <w:bCs/>
          <w:sz w:val="24"/>
          <w:szCs w:val="24"/>
          <w:highlight w:val="none"/>
        </w:rPr>
        <w:t>；</w:t>
      </w:r>
    </w:p>
    <w:p w14:paraId="0360F52B">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耐热变形性[(60+2)°C,50kPa,1h]</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≥90%</w:t>
      </w:r>
      <w:r>
        <w:rPr>
          <w:rFonts w:hint="eastAsia" w:asciiTheme="minorEastAsia" w:hAnsiTheme="minorEastAsia" w:eastAsiaTheme="minorEastAsia" w:cstheme="minorEastAsia"/>
          <w:bCs/>
          <w:sz w:val="24"/>
          <w:szCs w:val="24"/>
          <w:highlight w:val="none"/>
        </w:rPr>
        <w:t>；</w:t>
      </w:r>
    </w:p>
    <w:p w14:paraId="1784B31B">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总有机物含量</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≥19%</w:t>
      </w:r>
      <w:r>
        <w:rPr>
          <w:rFonts w:hint="eastAsia" w:asciiTheme="minorEastAsia" w:hAnsiTheme="minorEastAsia" w:eastAsiaTheme="minorEastAsia" w:cstheme="minorEastAsia"/>
          <w:bCs/>
          <w:sz w:val="24"/>
          <w:szCs w:val="24"/>
          <w:highlight w:val="none"/>
        </w:rPr>
        <w:t>；</w:t>
      </w:r>
    </w:p>
    <w:p w14:paraId="6B049125">
      <w:pPr>
        <w:keepNext w:val="0"/>
        <w:keepLines w:val="0"/>
        <w:pageBreakBefore w:val="0"/>
        <w:widowControl w:val="0"/>
        <w:numPr>
          <w:ilvl w:val="0"/>
          <w:numId w:val="2"/>
        </w:numPr>
        <w:kinsoku/>
        <w:wordWrap/>
        <w:overflowPunct/>
        <w:topLinePunct w:val="0"/>
        <w:autoSpaceDE w:val="0"/>
        <w:autoSpaceDN w:val="0"/>
        <w:bidi w:val="0"/>
        <w:adjustRightInd/>
        <w:spacing w:line="360" w:lineRule="auto"/>
        <w:ind w:left="0" w:leftChars="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val="en-US" w:eastAsia="zh-CN"/>
        </w:rPr>
        <w:t>包装</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val="en-US" w:eastAsia="zh-CN"/>
        </w:rPr>
        <w:t>按</w:t>
      </w:r>
      <w:r>
        <w:rPr>
          <w:rFonts w:hint="eastAsia" w:asciiTheme="minorEastAsia" w:hAnsiTheme="minorEastAsia" w:eastAsiaTheme="minorEastAsia" w:cstheme="minorEastAsia"/>
          <w:bCs/>
          <w:sz w:val="24"/>
          <w:szCs w:val="24"/>
          <w:highlight w:val="none"/>
        </w:rPr>
        <w:t>《路面标线涂料》JT/T280-2022</w:t>
      </w:r>
      <w:r>
        <w:rPr>
          <w:rFonts w:hint="eastAsia" w:asciiTheme="minorEastAsia" w:hAnsiTheme="minorEastAsia" w:eastAsiaTheme="minorEastAsia" w:cstheme="minorEastAsia"/>
          <w:bCs/>
          <w:sz w:val="24"/>
          <w:szCs w:val="24"/>
          <w:highlight w:val="none"/>
          <w:lang w:val="en-US" w:eastAsia="zh-CN"/>
        </w:rPr>
        <w:t>附录C的规定</w:t>
      </w:r>
      <w:r>
        <w:rPr>
          <w:rFonts w:hint="eastAsia" w:asciiTheme="minorEastAsia" w:hAnsiTheme="minorEastAsia" w:eastAsiaTheme="minorEastAsia" w:cstheme="minorEastAsia"/>
          <w:bCs/>
          <w:sz w:val="24"/>
          <w:szCs w:val="24"/>
          <w:highlight w:val="none"/>
          <w:lang w:eastAsia="zh-CN"/>
        </w:rPr>
        <w:t>。</w:t>
      </w:r>
    </w:p>
    <w:p w14:paraId="1864E3E8">
      <w:pPr>
        <w:keepNext w:val="0"/>
        <w:keepLines w:val="0"/>
        <w:pageBreakBefore w:val="0"/>
        <w:widowControl w:val="0"/>
        <w:numPr>
          <w:ilvl w:val="0"/>
          <w:numId w:val="0"/>
        </w:numPr>
        <w:kinsoku/>
        <w:wordWrap/>
        <w:overflowPunct/>
        <w:topLinePunct w:val="0"/>
        <w:autoSpaceDE w:val="0"/>
        <w:autoSpaceDN w:val="0"/>
        <w:bidi w:val="0"/>
        <w:adjustRightInd/>
        <w:spacing w:line="360" w:lineRule="auto"/>
        <w:ind w:left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9</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rPr>
        <w:t>涂料用下涂剂（底油）的品质应符合如下规定：</w:t>
      </w:r>
    </w:p>
    <w:p w14:paraId="21E8145B">
      <w:pPr>
        <w:keepNext w:val="0"/>
        <w:keepLines w:val="0"/>
        <w:pageBreakBefore w:val="0"/>
        <w:widowControl w:val="0"/>
        <w:numPr>
          <w:ilvl w:val="0"/>
          <w:numId w:val="3"/>
        </w:numPr>
        <w:kinsoku/>
        <w:wordWrap/>
        <w:overflowPunct/>
        <w:topLinePunct w:val="0"/>
        <w:autoSpaceDE w:val="0"/>
        <w:autoSpaceDN w:val="0"/>
        <w:bidi w:val="0"/>
        <w:adjustRightInd/>
        <w:snapToGrid/>
        <w:spacing w:line="360" w:lineRule="auto"/>
        <w:ind w:left="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涂料用下涂剂颜色应无透明或琥珀色流体；</w:t>
      </w:r>
    </w:p>
    <w:p w14:paraId="735F226F">
      <w:pPr>
        <w:keepNext w:val="0"/>
        <w:keepLines w:val="0"/>
        <w:pageBreakBefore w:val="0"/>
        <w:widowControl w:val="0"/>
        <w:numPr>
          <w:ilvl w:val="0"/>
          <w:numId w:val="3"/>
        </w:numPr>
        <w:kinsoku/>
        <w:wordWrap/>
        <w:overflowPunct/>
        <w:topLinePunct w:val="0"/>
        <w:autoSpaceDE w:val="0"/>
        <w:autoSpaceDN w:val="0"/>
        <w:bidi w:val="0"/>
        <w:adjustRightInd/>
        <w:snapToGrid/>
        <w:spacing w:line="360" w:lineRule="auto"/>
        <w:ind w:left="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固体含量：30±5﹪；</w:t>
      </w:r>
    </w:p>
    <w:p w14:paraId="3D7F06EB">
      <w:pPr>
        <w:keepNext w:val="0"/>
        <w:keepLines w:val="0"/>
        <w:pageBreakBefore w:val="0"/>
        <w:widowControl w:val="0"/>
        <w:numPr>
          <w:ilvl w:val="0"/>
          <w:numId w:val="3"/>
        </w:numPr>
        <w:kinsoku/>
        <w:wordWrap/>
        <w:overflowPunct/>
        <w:topLinePunct w:val="0"/>
        <w:autoSpaceDE w:val="0"/>
        <w:autoSpaceDN w:val="0"/>
        <w:bidi w:val="0"/>
        <w:adjustRightInd/>
        <w:snapToGrid/>
        <w:spacing w:line="360" w:lineRule="auto"/>
        <w:ind w:left="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涂布量：150～200g/㎡；</w:t>
      </w:r>
    </w:p>
    <w:p w14:paraId="004B1353">
      <w:pPr>
        <w:keepNext w:val="0"/>
        <w:keepLines w:val="0"/>
        <w:pageBreakBefore w:val="0"/>
        <w:widowControl w:val="0"/>
        <w:numPr>
          <w:ilvl w:val="0"/>
          <w:numId w:val="3"/>
        </w:numPr>
        <w:kinsoku/>
        <w:wordWrap/>
        <w:overflowPunct/>
        <w:topLinePunct w:val="0"/>
        <w:autoSpaceDE w:val="0"/>
        <w:autoSpaceDN w:val="0"/>
        <w:bidi w:val="0"/>
        <w:adjustRightInd/>
        <w:snapToGrid/>
        <w:spacing w:line="360" w:lineRule="auto"/>
        <w:ind w:left="0"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干燥时间：≤5 min；</w:t>
      </w:r>
    </w:p>
    <w:p w14:paraId="185C5466">
      <w:pPr>
        <w:keepNext w:val="0"/>
        <w:keepLines w:val="0"/>
        <w:pageBreakBefore w:val="0"/>
        <w:widowControl w:val="0"/>
        <w:numPr>
          <w:ilvl w:val="0"/>
          <w:numId w:val="0"/>
        </w:numPr>
        <w:kinsoku/>
        <w:wordWrap/>
        <w:overflowPunct/>
        <w:topLinePunct w:val="0"/>
        <w:autoSpaceDE w:val="0"/>
        <w:autoSpaceDN w:val="0"/>
        <w:bidi w:val="0"/>
        <w:adjustRightInd/>
        <w:spacing w:line="360" w:lineRule="auto"/>
        <w:ind w:left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10</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rPr>
        <w:t>玻璃珠的品质应符合如下规定：</w:t>
      </w:r>
    </w:p>
    <w:p w14:paraId="0AD37A0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a)  容器中玻璃珠状态：粒状或松散团状，清洁无杂质；</w:t>
      </w:r>
    </w:p>
    <w:p w14:paraId="23CFF7E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b)  密度（在23℃±2℃的二甲苯中）：2.4～</w:t>
      </w:r>
      <w:r>
        <w:rPr>
          <w:rFonts w:hint="eastAsia" w:asciiTheme="minorEastAsia" w:hAnsiTheme="minorEastAsia" w:eastAsiaTheme="minorEastAsia" w:cstheme="minorEastAsia"/>
          <w:bCs/>
          <w:sz w:val="24"/>
          <w:szCs w:val="24"/>
          <w:highlight w:val="none"/>
          <w:lang w:val="en-US" w:eastAsia="zh-CN"/>
        </w:rPr>
        <w:t>4.3</w:t>
      </w:r>
      <w:r>
        <w:rPr>
          <w:rFonts w:hint="eastAsia" w:asciiTheme="minorEastAsia" w:hAnsiTheme="minorEastAsia" w:eastAsiaTheme="minorEastAsia" w:cstheme="minorEastAsia"/>
          <w:bCs/>
          <w:sz w:val="24"/>
          <w:szCs w:val="24"/>
          <w:highlight w:val="none"/>
        </w:rPr>
        <w:t>g/cm³；</w:t>
      </w:r>
    </w:p>
    <w:p w14:paraId="741835B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c)  粒径：</w:t>
      </w:r>
      <w:r>
        <w:rPr>
          <w:rFonts w:hint="eastAsia" w:asciiTheme="minorEastAsia" w:hAnsiTheme="minorEastAsia" w:eastAsiaTheme="minorEastAsia" w:cstheme="minorEastAsia"/>
          <w:bCs/>
          <w:sz w:val="24"/>
          <w:szCs w:val="24"/>
          <w:highlight w:val="none"/>
          <w:lang w:eastAsia="zh-CN"/>
        </w:rPr>
        <w:t>玻璃珠粒径</w:t>
      </w:r>
      <w:r>
        <w:rPr>
          <w:rFonts w:hint="eastAsia" w:asciiTheme="minorEastAsia" w:hAnsiTheme="minorEastAsia" w:eastAsiaTheme="minorEastAsia" w:cstheme="minorEastAsia"/>
          <w:bCs/>
          <w:sz w:val="24"/>
          <w:szCs w:val="24"/>
          <w:highlight w:val="none"/>
          <w:lang w:val="en-US" w:eastAsia="zh-CN"/>
        </w:rPr>
        <w:t>S＞600μm</w:t>
      </w:r>
      <w:r>
        <w:rPr>
          <w:rFonts w:hint="eastAsia" w:asciiTheme="minorEastAsia" w:hAnsiTheme="minorEastAsia" w:eastAsiaTheme="minorEastAsia" w:cstheme="minorEastAsia"/>
          <w:bCs/>
          <w:sz w:val="24"/>
          <w:szCs w:val="24"/>
          <w:highlight w:val="none"/>
        </w:rPr>
        <w:t>时，</w:t>
      </w:r>
      <w:r>
        <w:rPr>
          <w:rFonts w:hint="eastAsia" w:asciiTheme="minorEastAsia" w:hAnsiTheme="minorEastAsia" w:eastAsiaTheme="minorEastAsia" w:cstheme="minorEastAsia"/>
          <w:bCs/>
          <w:sz w:val="24"/>
          <w:szCs w:val="24"/>
          <w:highlight w:val="none"/>
          <w:lang w:eastAsia="zh-CN"/>
        </w:rPr>
        <w:t>玻璃珠质量百分比为</w:t>
      </w:r>
      <w:r>
        <w:rPr>
          <w:rFonts w:hint="eastAsia" w:asciiTheme="minorEastAsia" w:hAnsiTheme="minorEastAsia" w:eastAsiaTheme="minorEastAsia" w:cstheme="minorEastAsia"/>
          <w:bCs/>
          <w:sz w:val="24"/>
          <w:szCs w:val="24"/>
          <w:highlight w:val="none"/>
          <w:lang w:val="en-US" w:eastAsia="zh-CN"/>
        </w:rPr>
        <w:t>0%；</w:t>
      </w:r>
      <w:r>
        <w:rPr>
          <w:rFonts w:hint="eastAsia" w:asciiTheme="minorEastAsia" w:hAnsiTheme="minorEastAsia" w:eastAsiaTheme="minorEastAsia" w:cstheme="minorEastAsia"/>
          <w:bCs/>
          <w:sz w:val="24"/>
          <w:szCs w:val="24"/>
          <w:highlight w:val="none"/>
          <w:lang w:eastAsia="zh-CN"/>
        </w:rPr>
        <w:t>玻璃珠粒径</w:t>
      </w:r>
      <w:r>
        <w:rPr>
          <w:rFonts w:hint="eastAsia" w:asciiTheme="minorEastAsia" w:hAnsiTheme="minorEastAsia" w:eastAsiaTheme="minorEastAsia" w:cstheme="minorEastAsia"/>
          <w:bCs/>
          <w:sz w:val="24"/>
          <w:szCs w:val="24"/>
          <w:highlight w:val="none"/>
          <w:lang w:val="en-US" w:eastAsia="zh-CN"/>
        </w:rPr>
        <w:t>300~600μm之间</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eastAsia="zh-CN"/>
        </w:rPr>
        <w:t>玻璃珠质量百分比为</w:t>
      </w:r>
      <w:r>
        <w:rPr>
          <w:rFonts w:hint="eastAsia" w:asciiTheme="minorEastAsia" w:hAnsiTheme="minorEastAsia" w:eastAsiaTheme="minorEastAsia" w:cstheme="minorEastAsia"/>
          <w:bCs/>
          <w:sz w:val="24"/>
          <w:szCs w:val="24"/>
          <w:highlight w:val="none"/>
          <w:lang w:val="en-US" w:eastAsia="zh-CN"/>
        </w:rPr>
        <w:t>50~90%；</w:t>
      </w:r>
      <w:r>
        <w:rPr>
          <w:rFonts w:hint="eastAsia" w:asciiTheme="minorEastAsia" w:hAnsiTheme="minorEastAsia" w:eastAsiaTheme="minorEastAsia" w:cstheme="minorEastAsia"/>
          <w:bCs/>
          <w:sz w:val="24"/>
          <w:szCs w:val="24"/>
          <w:highlight w:val="none"/>
          <w:lang w:eastAsia="zh-CN"/>
        </w:rPr>
        <w:t>玻璃珠粒径</w:t>
      </w:r>
      <w:r>
        <w:rPr>
          <w:rFonts w:hint="eastAsia" w:asciiTheme="minorEastAsia" w:hAnsiTheme="minorEastAsia" w:eastAsiaTheme="minorEastAsia" w:cstheme="minorEastAsia"/>
          <w:bCs/>
          <w:sz w:val="24"/>
          <w:szCs w:val="24"/>
          <w:highlight w:val="none"/>
          <w:lang w:val="en-US" w:eastAsia="zh-CN"/>
        </w:rPr>
        <w:t>150~300μm</w:t>
      </w:r>
      <w:r>
        <w:rPr>
          <w:rFonts w:hint="eastAsia" w:asciiTheme="minorEastAsia" w:hAnsiTheme="minorEastAsia" w:eastAsiaTheme="minorEastAsia" w:cstheme="minorEastAsia"/>
          <w:bCs/>
          <w:sz w:val="24"/>
          <w:szCs w:val="24"/>
          <w:highlight w:val="none"/>
          <w:lang w:eastAsia="zh-CN"/>
        </w:rPr>
        <w:t>之间</w:t>
      </w:r>
      <w:r>
        <w:rPr>
          <w:rFonts w:hint="eastAsia" w:asciiTheme="minorEastAsia" w:hAnsiTheme="minorEastAsia" w:eastAsiaTheme="minorEastAsia" w:cstheme="minorEastAsia"/>
          <w:bCs/>
          <w:sz w:val="24"/>
          <w:szCs w:val="24"/>
          <w:highlight w:val="none"/>
        </w:rPr>
        <w:t>，</w:t>
      </w:r>
      <w:r>
        <w:rPr>
          <w:rFonts w:hint="eastAsia" w:asciiTheme="minorEastAsia" w:hAnsiTheme="minorEastAsia" w:eastAsiaTheme="minorEastAsia" w:cstheme="minorEastAsia"/>
          <w:bCs/>
          <w:sz w:val="24"/>
          <w:szCs w:val="24"/>
          <w:highlight w:val="none"/>
          <w:lang w:eastAsia="zh-CN"/>
        </w:rPr>
        <w:t>玻璃珠质量百分比为</w:t>
      </w:r>
      <w:r>
        <w:rPr>
          <w:rFonts w:hint="eastAsia" w:asciiTheme="minorEastAsia" w:hAnsiTheme="minorEastAsia" w:eastAsiaTheme="minorEastAsia" w:cstheme="minorEastAsia"/>
          <w:bCs/>
          <w:sz w:val="24"/>
          <w:szCs w:val="24"/>
          <w:highlight w:val="none"/>
          <w:lang w:val="en-US" w:eastAsia="zh-CN"/>
        </w:rPr>
        <w:t>5~50%，</w:t>
      </w:r>
      <w:r>
        <w:rPr>
          <w:rFonts w:hint="eastAsia" w:asciiTheme="minorEastAsia" w:hAnsiTheme="minorEastAsia" w:eastAsiaTheme="minorEastAsia" w:cstheme="minorEastAsia"/>
          <w:bCs/>
          <w:sz w:val="24"/>
          <w:szCs w:val="24"/>
          <w:highlight w:val="none"/>
          <w:lang w:eastAsia="zh-CN"/>
        </w:rPr>
        <w:t>玻璃珠粒径</w:t>
      </w:r>
      <w:r>
        <w:rPr>
          <w:rFonts w:hint="eastAsia" w:asciiTheme="minorEastAsia" w:hAnsiTheme="minorEastAsia" w:eastAsiaTheme="minorEastAsia" w:cstheme="minorEastAsia"/>
          <w:bCs/>
          <w:sz w:val="24"/>
          <w:szCs w:val="24"/>
          <w:highlight w:val="none"/>
          <w:lang w:val="en-US" w:eastAsia="zh-CN"/>
        </w:rPr>
        <w:t>S＜150μm</w:t>
      </w:r>
      <w:r>
        <w:rPr>
          <w:rFonts w:hint="eastAsia" w:asciiTheme="minorEastAsia" w:hAnsiTheme="minorEastAsia" w:eastAsiaTheme="minorEastAsia" w:cstheme="minorEastAsia"/>
          <w:bCs/>
          <w:sz w:val="24"/>
          <w:szCs w:val="24"/>
          <w:highlight w:val="none"/>
        </w:rPr>
        <w:t>时，</w:t>
      </w:r>
      <w:r>
        <w:rPr>
          <w:rFonts w:hint="eastAsia" w:asciiTheme="minorEastAsia" w:hAnsiTheme="minorEastAsia" w:eastAsiaTheme="minorEastAsia" w:cstheme="minorEastAsia"/>
          <w:bCs/>
          <w:sz w:val="24"/>
          <w:szCs w:val="24"/>
          <w:highlight w:val="none"/>
          <w:lang w:eastAsia="zh-CN"/>
        </w:rPr>
        <w:t>玻璃珠质量百分比为</w:t>
      </w:r>
      <w:r>
        <w:rPr>
          <w:rFonts w:hint="eastAsia" w:asciiTheme="minorEastAsia" w:hAnsiTheme="minorEastAsia" w:eastAsiaTheme="minorEastAsia" w:cstheme="minorEastAsia"/>
          <w:bCs/>
          <w:sz w:val="24"/>
          <w:szCs w:val="24"/>
          <w:highlight w:val="none"/>
          <w:lang w:val="en-US" w:eastAsia="zh-CN"/>
        </w:rPr>
        <w:t>0~5%；</w:t>
      </w:r>
    </w:p>
    <w:p w14:paraId="61675517">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e)  外观：无色透明球状，扩大10～50倍观察时，熔融团、片状、尖状物、有气泡等瑕庇珠不应超过总量的20%；</w:t>
      </w:r>
    </w:p>
    <w:p w14:paraId="4DE8F89F">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f)  玻璃珠的折射率（20℃浸渍法）：≥1.5；</w:t>
      </w:r>
    </w:p>
    <w:p w14:paraId="6B91CD3D">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rPr>
        <w:t>g)  耐水性：取10g样品放于10mL蒸馏水中，于沸腾水溶中加热1小时后冷却；玻璃珠表面不   应出现模糊状；中和这100mL水所需0.01M的盐酸应在10mL以下。</w:t>
      </w:r>
    </w:p>
    <w:p w14:paraId="38F410D1">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lang w:val="en-US" w:eastAsia="zh-CN"/>
        </w:rPr>
      </w:pPr>
      <w:r>
        <w:rPr>
          <w:rFonts w:hint="eastAsia" w:asciiTheme="minorEastAsia" w:hAnsiTheme="minorEastAsia" w:eastAsiaTheme="minorEastAsia" w:cstheme="minorEastAsia"/>
          <w:bCs/>
          <w:sz w:val="24"/>
          <w:szCs w:val="24"/>
          <w:highlight w:val="none"/>
          <w:lang w:val="en-US" w:eastAsia="zh-CN"/>
        </w:rPr>
        <w:t>h）</w:t>
      </w:r>
      <w:r>
        <w:rPr>
          <w:rFonts w:hint="eastAsia" w:asciiTheme="minorEastAsia" w:hAnsiTheme="minorEastAsia" w:eastAsiaTheme="minorEastAsia" w:cstheme="minorEastAsia"/>
          <w:bCs/>
          <w:sz w:val="24"/>
          <w:szCs w:val="24"/>
          <w:highlight w:val="none"/>
          <w:lang w:eastAsia="zh-CN"/>
        </w:rPr>
        <w:t>玻璃珠的成圆率要求：有缺陷的玻璃珠，如椭圆形珠、不圆的颗粒、失透的珠、熔融粘连的珠、有气泡的玻璃珠和杂志等的质量应小于玻璃珠总质量的</w:t>
      </w:r>
      <w:r>
        <w:rPr>
          <w:rFonts w:hint="eastAsia" w:asciiTheme="minorEastAsia" w:hAnsiTheme="minorEastAsia" w:eastAsiaTheme="minorEastAsia" w:cstheme="minorEastAsia"/>
          <w:bCs/>
          <w:sz w:val="24"/>
          <w:szCs w:val="24"/>
          <w:highlight w:val="none"/>
          <w:lang w:val="en-US" w:eastAsia="zh-CN"/>
        </w:rPr>
        <w:t>20%，即玻璃珠成圆率不小于80%，其中粒径在850μm~600μm范围内玻璃珠的成圆率不应小于70%。</w:t>
      </w:r>
    </w:p>
    <w:p w14:paraId="56D08E0C">
      <w:pPr>
        <w:keepNext w:val="0"/>
        <w:keepLines w:val="0"/>
        <w:pageBreakBefore w:val="0"/>
        <w:widowControl w:val="0"/>
        <w:numPr>
          <w:ilvl w:val="0"/>
          <w:numId w:val="0"/>
        </w:numPr>
        <w:kinsoku/>
        <w:wordWrap/>
        <w:overflowPunct/>
        <w:topLinePunct w:val="0"/>
        <w:autoSpaceDE w:val="0"/>
        <w:autoSpaceDN w:val="0"/>
        <w:bidi w:val="0"/>
        <w:adjustRightInd/>
        <w:spacing w:line="360" w:lineRule="auto"/>
        <w:ind w:leftChars="200"/>
        <w:textAlignment w:val="auto"/>
        <w:rPr>
          <w:rFonts w:hint="eastAsia" w:asciiTheme="minorEastAsia" w:hAnsiTheme="minorEastAsia" w:eastAsiaTheme="minorEastAsia" w:cstheme="minorEastAsia"/>
          <w:bCs/>
          <w:sz w:val="24"/>
          <w:szCs w:val="24"/>
          <w:highlight w:val="none"/>
        </w:rPr>
      </w:pP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11</w:t>
      </w:r>
      <w:r>
        <w:rPr>
          <w:rFonts w:hint="eastAsia" w:asciiTheme="minorEastAsia" w:hAnsiTheme="minorEastAsia" w:eastAsiaTheme="minorEastAsia" w:cstheme="minorEastAsia"/>
          <w:bCs/>
          <w:sz w:val="24"/>
          <w:szCs w:val="24"/>
          <w:highlight w:val="none"/>
          <w:lang w:eastAsia="zh-CN"/>
        </w:rPr>
        <w:t>）</w:t>
      </w:r>
      <w:r>
        <w:rPr>
          <w:rFonts w:hint="eastAsia" w:asciiTheme="minorEastAsia" w:hAnsiTheme="minorEastAsia" w:eastAsiaTheme="minorEastAsia" w:cstheme="minorEastAsia"/>
          <w:bCs/>
          <w:sz w:val="24"/>
          <w:szCs w:val="24"/>
          <w:highlight w:val="none"/>
          <w:lang w:val="en-US" w:eastAsia="zh-CN"/>
        </w:rPr>
        <w:t>反光标线的光度性能</w:t>
      </w:r>
      <w:r>
        <w:rPr>
          <w:rFonts w:hint="eastAsia" w:asciiTheme="minorEastAsia" w:hAnsiTheme="minorEastAsia" w:eastAsiaTheme="minorEastAsia" w:cstheme="minorEastAsia"/>
          <w:bCs/>
          <w:sz w:val="24"/>
          <w:szCs w:val="24"/>
          <w:highlight w:val="none"/>
        </w:rPr>
        <w:t>应符合如下规定：</w:t>
      </w:r>
    </w:p>
    <w:p w14:paraId="0C87D0B3">
      <w:pPr>
        <w:keepNext w:val="0"/>
        <w:keepLines w:val="0"/>
        <w:pageBreakBefore w:val="0"/>
        <w:widowControl w:val="0"/>
        <w:kinsoku/>
        <w:wordWrap/>
        <w:overflowPunct/>
        <w:topLinePunct w:val="0"/>
        <w:autoSpaceDE w:val="0"/>
        <w:autoSpaceDN w:val="0"/>
        <w:bidi w:val="0"/>
        <w:adjustRightInd/>
        <w:snapToGrid/>
        <w:spacing w:line="240" w:lineRule="auto"/>
        <w:ind w:firstLine="480" w:firstLineChars="200"/>
        <w:textAlignment w:val="auto"/>
        <w:rPr>
          <w:rFonts w:hint="eastAsia" w:asciiTheme="minorEastAsia" w:hAnsiTheme="minorEastAsia" w:eastAsiaTheme="minorEastAsia" w:cstheme="minorEastAsia"/>
          <w:bCs/>
          <w:sz w:val="24"/>
          <w:szCs w:val="24"/>
          <w:highlight w:val="none"/>
          <w:lang w:val="en-US" w:eastAsia="zh-CN"/>
        </w:rPr>
      </w:pPr>
      <w:r>
        <w:rPr>
          <w:rFonts w:hint="eastAsia" w:asciiTheme="minorEastAsia" w:hAnsiTheme="minorEastAsia" w:eastAsiaTheme="minorEastAsia" w:cstheme="minorEastAsia"/>
          <w:bCs/>
          <w:sz w:val="24"/>
          <w:szCs w:val="24"/>
          <w:highlight w:val="none"/>
        </w:rPr>
        <w:t xml:space="preserve">a) </w:t>
      </w:r>
      <w:r>
        <w:rPr>
          <w:rFonts w:hint="eastAsia" w:asciiTheme="minorEastAsia" w:hAnsiTheme="minorEastAsia" w:eastAsiaTheme="minorEastAsia" w:cstheme="minorEastAsia"/>
          <w:bCs/>
          <w:sz w:val="24"/>
          <w:szCs w:val="24"/>
          <w:highlight w:val="none"/>
          <w:lang w:val="en-US" w:eastAsia="zh-CN"/>
        </w:rPr>
        <w:t>正常使用期间，反光标线的逆反射亮度系数应满足夜间视认要求。一般情况下,白色反光标线的逆反射亮度系数不应低于80 mcd·m-z·lx</w:t>
      </w:r>
      <w:r>
        <w:rPr>
          <w:rFonts w:hint="eastAsia" w:asciiTheme="minorEastAsia" w:hAnsiTheme="minorEastAsia" w:eastAsiaTheme="minorEastAsia" w:cstheme="minorEastAsia"/>
          <w:bCs/>
          <w:sz w:val="24"/>
          <w:szCs w:val="24"/>
          <w:highlight w:val="none"/>
          <w:lang w:val="en-US" w:eastAsia="zh-CN"/>
        </w:rPr>
        <w:object>
          <v:shape id="_x0000_i1025" o:spt="75" type="#_x0000_t75" style="height:15pt;width:9pt;" o:ole="t" filled="f" o:preferrelative="t" stroked="f" coordsize="21600,21600">
            <v:path/>
            <v:fill on="f" focussize="0,0"/>
            <v:stroke on="f"/>
            <v:imagedata r:id="rId21" o:title=""/>
            <o:lock v:ext="edit" aspectratio="t"/>
            <w10:wrap type="none"/>
            <w10:anchorlock/>
          </v:shape>
          <o:OLEObject Type="Embed" ProgID="Equation.KSEE3" ShapeID="_x0000_i1025" DrawAspect="Content" ObjectID="_1468075725" r:id="rId20">
            <o:LockedField>false</o:LockedField>
          </o:OLEObject>
        </w:object>
      </w:r>
      <w:r>
        <w:rPr>
          <w:rFonts w:hint="eastAsia" w:asciiTheme="minorEastAsia" w:hAnsiTheme="minorEastAsia" w:eastAsiaTheme="minorEastAsia" w:cstheme="minorEastAsia"/>
          <w:bCs/>
          <w:sz w:val="24"/>
          <w:szCs w:val="24"/>
          <w:highlight w:val="none"/>
          <w:lang w:val="en-US" w:eastAsia="zh-CN"/>
        </w:rPr>
        <w:t>,黄色反光标线的逆反射亮度系数不应低于50mcd·m-z·lx</w:t>
      </w:r>
      <w:r>
        <w:rPr>
          <w:rFonts w:hint="eastAsia" w:asciiTheme="minorEastAsia" w:hAnsiTheme="minorEastAsia" w:eastAsiaTheme="minorEastAsia" w:cstheme="minorEastAsia"/>
          <w:bCs/>
          <w:sz w:val="24"/>
          <w:szCs w:val="24"/>
          <w:highlight w:val="none"/>
          <w:lang w:val="en-US" w:eastAsia="zh-CN"/>
        </w:rPr>
        <w:object>
          <v:shape id="_x0000_i1026" o:spt="75" type="#_x0000_t75" style="height:15pt;width:9pt;" o:ole="t" filled="f" o:preferrelative="t" stroked="f" coordsize="21600,21600">
            <v:path/>
            <v:fill on="f" focussize="0,0"/>
            <v:stroke on="f"/>
            <v:imagedata r:id="rId21" o:title=""/>
            <o:lock v:ext="edit" aspectratio="t"/>
            <w10:wrap type="none"/>
            <w10:anchorlock/>
          </v:shape>
          <o:OLEObject Type="Embed" ProgID="Equation.KSEE3" ShapeID="_x0000_i1026" DrawAspect="Content" ObjectID="_1468075726" r:id="rId22">
            <o:LockedField>false</o:LockedField>
          </o:OLEObject>
        </w:object>
      </w:r>
      <w:r>
        <w:rPr>
          <w:rFonts w:hint="eastAsia" w:asciiTheme="minorEastAsia" w:hAnsiTheme="minorEastAsia" w:eastAsiaTheme="minorEastAsia" w:cstheme="minorEastAsia"/>
          <w:bCs/>
          <w:sz w:val="24"/>
          <w:szCs w:val="24"/>
          <w:highlight w:val="none"/>
          <w:lang w:val="en-US" w:eastAsia="zh-CN"/>
        </w:rPr>
        <w:t>。</w:t>
      </w:r>
    </w:p>
    <w:p w14:paraId="2EA637B6">
      <w:pPr>
        <w:keepNext w:val="0"/>
        <w:keepLines w:val="0"/>
        <w:pageBreakBefore w:val="0"/>
        <w:widowControl w:val="0"/>
        <w:kinsoku/>
        <w:wordWrap/>
        <w:overflowPunct/>
        <w:topLinePunct w:val="0"/>
        <w:autoSpaceDE w:val="0"/>
        <w:autoSpaceDN w:val="0"/>
        <w:bidi w:val="0"/>
        <w:adjustRightInd/>
        <w:snapToGrid/>
        <w:spacing w:line="360" w:lineRule="auto"/>
        <w:ind w:firstLine="480" w:firstLineChars="200"/>
        <w:textAlignment w:val="auto"/>
        <w:rPr>
          <w:rFonts w:hint="eastAsia" w:asciiTheme="minorEastAsia" w:hAnsiTheme="minorEastAsia" w:eastAsiaTheme="minorEastAsia" w:cstheme="minorEastAsia"/>
          <w:bCs/>
          <w:sz w:val="24"/>
          <w:szCs w:val="24"/>
          <w:highlight w:val="none"/>
          <w:lang w:val="en-US" w:eastAsia="zh-CN"/>
        </w:rPr>
      </w:pPr>
      <w:r>
        <w:rPr>
          <w:rFonts w:hint="eastAsia" w:asciiTheme="minorEastAsia" w:hAnsiTheme="minorEastAsia" w:eastAsiaTheme="minorEastAsia" w:cstheme="minorEastAsia"/>
          <w:bCs/>
          <w:sz w:val="24"/>
          <w:szCs w:val="24"/>
          <w:highlight w:val="none"/>
        </w:rPr>
        <w:t xml:space="preserve">b) </w:t>
      </w:r>
      <w:r>
        <w:rPr>
          <w:rFonts w:hint="eastAsia" w:asciiTheme="minorEastAsia" w:hAnsiTheme="minorEastAsia" w:eastAsiaTheme="minorEastAsia" w:cstheme="minorEastAsia"/>
          <w:bCs/>
          <w:sz w:val="24"/>
          <w:szCs w:val="24"/>
          <w:highlight w:val="none"/>
          <w:lang w:val="en-US" w:eastAsia="zh-CN"/>
        </w:rPr>
        <w:t>新划标线的初始逆反射亮度系数应符合GB/T21383-2008的规定，白色反光标线的逆反射亮度系数不应低于150mcd·m-z·lx</w:t>
      </w:r>
      <w:r>
        <w:rPr>
          <w:rFonts w:hint="eastAsia" w:asciiTheme="minorEastAsia" w:hAnsiTheme="minorEastAsia" w:eastAsiaTheme="minorEastAsia" w:cstheme="minorEastAsia"/>
          <w:bCs/>
          <w:sz w:val="24"/>
          <w:szCs w:val="24"/>
          <w:highlight w:val="none"/>
          <w:lang w:val="en-US" w:eastAsia="zh-CN"/>
        </w:rPr>
        <w:object>
          <v:shape id="_x0000_i1027" o:spt="75" type="#_x0000_t75" style="height:15pt;width:9pt;" o:ole="t" filled="f" o:preferrelative="t" stroked="f" coordsize="21600,21600">
            <v:path/>
            <v:fill on="f" focussize="0,0"/>
            <v:stroke on="f"/>
            <v:imagedata r:id="rId21" o:title=""/>
            <o:lock v:ext="edit" aspectratio="t"/>
            <w10:wrap type="none"/>
            <w10:anchorlock/>
          </v:shape>
          <o:OLEObject Type="Embed" ProgID="Equation.KSEE3" ShapeID="_x0000_i1027" DrawAspect="Content" ObjectID="_1468075727" r:id="rId23">
            <o:LockedField>false</o:LockedField>
          </o:OLEObject>
        </w:object>
      </w:r>
      <w:r>
        <w:rPr>
          <w:rFonts w:hint="eastAsia" w:asciiTheme="minorEastAsia" w:hAnsiTheme="minorEastAsia" w:eastAsiaTheme="minorEastAsia" w:cstheme="minorEastAsia"/>
          <w:bCs/>
          <w:sz w:val="24"/>
          <w:szCs w:val="24"/>
          <w:highlight w:val="none"/>
          <w:lang w:val="en-US" w:eastAsia="zh-CN"/>
        </w:rPr>
        <w:t>,黄色反光标线的逆反射亮度系数不应低于100 mcd·m-z·lx</w:t>
      </w:r>
      <w:r>
        <w:rPr>
          <w:rFonts w:hint="eastAsia" w:asciiTheme="minorEastAsia" w:hAnsiTheme="minorEastAsia" w:eastAsiaTheme="minorEastAsia" w:cstheme="minorEastAsia"/>
          <w:bCs/>
          <w:sz w:val="24"/>
          <w:szCs w:val="24"/>
          <w:highlight w:val="none"/>
          <w:lang w:val="en-US" w:eastAsia="zh-CN"/>
        </w:rPr>
        <w:object>
          <v:shape id="_x0000_i1028" o:spt="75" type="#_x0000_t75" style="height:15pt;width:9pt;" o:ole="t" filled="f" o:preferrelative="t" stroked="f" coordsize="21600,21600">
            <v:path/>
            <v:fill on="f" focussize="0,0"/>
            <v:stroke on="f"/>
            <v:imagedata r:id="rId21" o:title=""/>
            <o:lock v:ext="edit" aspectratio="t"/>
            <w10:wrap type="none"/>
            <w10:anchorlock/>
          </v:shape>
          <o:OLEObject Type="Embed" ProgID="Equation.KSEE3" ShapeID="_x0000_i1028" DrawAspect="Content" ObjectID="_1468075728" r:id="rId24">
            <o:LockedField>false</o:LockedField>
          </o:OLEObject>
        </w:object>
      </w:r>
      <w:r>
        <w:rPr>
          <w:rFonts w:hint="eastAsia" w:asciiTheme="minorEastAsia" w:hAnsiTheme="minorEastAsia" w:eastAsiaTheme="minorEastAsia" w:cstheme="minorEastAsia"/>
          <w:bCs/>
          <w:sz w:val="24"/>
          <w:szCs w:val="24"/>
          <w:highlight w:val="none"/>
          <w:lang w:val="en-US" w:eastAsia="zh-CN"/>
        </w:rPr>
        <w:t>。</w:t>
      </w:r>
    </w:p>
    <w:p w14:paraId="2BBA25A1">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b/>
          <w:bCs/>
          <w:kern w:val="0"/>
          <w:sz w:val="24"/>
          <w:szCs w:val="24"/>
          <w:highlight w:val="none"/>
        </w:rPr>
      </w:pPr>
      <w:r>
        <w:rPr>
          <w:rFonts w:hint="eastAsia" w:asciiTheme="minorEastAsia" w:hAnsiTheme="minorEastAsia" w:eastAsiaTheme="minorEastAsia" w:cstheme="minorEastAsia"/>
          <w:b/>
          <w:bCs/>
          <w:kern w:val="0"/>
          <w:sz w:val="24"/>
          <w:szCs w:val="24"/>
          <w:highlight w:val="none"/>
        </w:rPr>
        <w:t>3、施工过程注意事项</w:t>
      </w:r>
    </w:p>
    <w:p w14:paraId="7000DEAE">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（1）控制涂料及玻璃珠的材料品质、控制路面干燥清洁、控制底漆均匀到位、控制水线线形顺直及位置正确、控制划线机行走线形顺直及位置正确。</w:t>
      </w:r>
    </w:p>
    <w:p w14:paraId="42A746B5">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（2）车道的划分见图中标注（线中至线中标注）。道路平面宽度不规则的路段原则按车道平均分配划线。（车道尺寸与虚线间距单位为米，标线、导向箭头和路面文字的厚度为1.</w:t>
      </w:r>
      <w:r>
        <w:rPr>
          <w:rFonts w:hint="eastAsia" w:asciiTheme="minorEastAsia" w:hAnsiTheme="minorEastAsia" w:eastAsiaTheme="minorEastAsia" w:cstheme="minorEastAsia"/>
          <w:kern w:val="0"/>
          <w:sz w:val="24"/>
          <w:szCs w:val="24"/>
          <w:highlight w:val="none"/>
          <w:lang w:val="en-US" w:eastAsia="zh-CN"/>
        </w:rPr>
        <w:t>8</w:t>
      </w:r>
      <w:r>
        <w:rPr>
          <w:rFonts w:hint="eastAsia" w:asciiTheme="minorEastAsia" w:hAnsiTheme="minorEastAsia" w:eastAsiaTheme="minorEastAsia" w:cstheme="minorEastAsia"/>
          <w:kern w:val="0"/>
          <w:sz w:val="24"/>
          <w:szCs w:val="24"/>
          <w:highlight w:val="none"/>
        </w:rPr>
        <w:t>mm）。</w:t>
      </w:r>
    </w:p>
    <w:p w14:paraId="7631F685">
      <w:pPr>
        <w:keepNext w:val="0"/>
        <w:keepLines w:val="0"/>
        <w:pageBreakBefore w:val="0"/>
        <w:widowControl w:val="0"/>
        <w:kinsoku/>
        <w:wordWrap/>
        <w:overflowPunct/>
        <w:topLinePunct w:val="0"/>
        <w:bidi w:val="0"/>
        <w:adjustRightInd/>
        <w:spacing w:line="360" w:lineRule="auto"/>
        <w:ind w:firstLine="480"/>
        <w:textAlignment w:val="auto"/>
        <w:rPr>
          <w:rFonts w:hint="eastAsia" w:asciiTheme="minorEastAsia" w:hAnsiTheme="minorEastAsia" w:eastAsiaTheme="minorEastAsia" w:cstheme="minorEastAsia"/>
          <w:kern w:val="0"/>
          <w:sz w:val="24"/>
          <w:szCs w:val="24"/>
          <w:highlight w:val="none"/>
        </w:rPr>
      </w:pPr>
      <w:r>
        <w:rPr>
          <w:rFonts w:hint="eastAsia" w:asciiTheme="minorEastAsia" w:hAnsiTheme="minorEastAsia" w:eastAsiaTheme="minorEastAsia" w:cstheme="minorEastAsia"/>
          <w:kern w:val="0"/>
          <w:sz w:val="24"/>
          <w:szCs w:val="24"/>
          <w:highlight w:val="none"/>
        </w:rPr>
        <w:t xml:space="preserve">（3）敷设标线的路面表面应清洁干燥，在水泥砼或旧沥青路面敷设标线时，需要预涂底油，水泥砼和沥青路面的下涂剂不能混用。 </w:t>
      </w:r>
    </w:p>
    <w:p w14:paraId="2966637F">
      <w:pPr>
        <w:pStyle w:val="3"/>
        <w:keepNext w:val="0"/>
        <w:keepLines w:val="0"/>
        <w:pageBreakBefore w:val="0"/>
        <w:widowControl w:val="0"/>
        <w:kinsoku/>
        <w:wordWrap/>
        <w:overflowPunct/>
        <w:topLinePunct w:val="0"/>
        <w:bidi w:val="0"/>
        <w:adjustRightInd/>
        <w:spacing w:line="360" w:lineRule="auto"/>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kern w:val="0"/>
          <w:sz w:val="24"/>
          <w:szCs w:val="24"/>
          <w:highlight w:val="none"/>
        </w:rPr>
        <w:t>（4）交通标线应使用抗滑材料，标线表面的抗滑性能一般不应低于所在路段路面的抗滑性能。连续设置的实线，应每隔</w:t>
      </w:r>
      <w:r>
        <w:rPr>
          <w:rFonts w:hint="eastAsia" w:asciiTheme="minorEastAsia" w:hAnsiTheme="minorEastAsia" w:eastAsiaTheme="minorEastAsia" w:cstheme="minorEastAsia"/>
          <w:kern w:val="0"/>
          <w:sz w:val="24"/>
          <w:szCs w:val="24"/>
          <w:highlight w:val="none"/>
          <w:lang w:val="en-US" w:eastAsia="zh-CN"/>
        </w:rPr>
        <w:t>15</w:t>
      </w:r>
      <w:r>
        <w:rPr>
          <w:rFonts w:hint="eastAsia" w:asciiTheme="minorEastAsia" w:hAnsiTheme="minorEastAsia" w:eastAsiaTheme="minorEastAsia" w:cstheme="minorEastAsia"/>
          <w:kern w:val="0"/>
          <w:sz w:val="24"/>
          <w:szCs w:val="24"/>
          <w:highlight w:val="none"/>
        </w:rPr>
        <w:t>m左右设置排水缝，其他</w:t>
      </w:r>
      <w:r>
        <w:rPr>
          <w:rFonts w:hint="eastAsia" w:asciiTheme="minorEastAsia" w:hAnsiTheme="minorEastAsia"/>
          <w:kern w:val="0"/>
          <w:sz w:val="24"/>
          <w:lang w:val="zh-CN" w:eastAsia="zh-CN"/>
        </w:rPr>
        <mc:AlternateContent>
          <mc:Choice Requires="wps">
            <w:drawing>
              <wp:anchor distT="0" distB="0" distL="114300" distR="114300" simplePos="0" relativeHeight="251681792" behindDoc="0" locked="0" layoutInCell="1" allowOverlap="1">
                <wp:simplePos x="0" y="0"/>
                <wp:positionH relativeFrom="column">
                  <wp:posOffset>1289050</wp:posOffset>
                </wp:positionH>
                <wp:positionV relativeFrom="paragraph">
                  <wp:posOffset>8340725</wp:posOffset>
                </wp:positionV>
                <wp:extent cx="2213610" cy="511810"/>
                <wp:effectExtent l="0" t="0" r="0" b="0"/>
                <wp:wrapNone/>
                <wp:docPr id="47" name="矩形 47"/>
                <wp:cNvGraphicFramePr/>
                <a:graphic xmlns:a="http://schemas.openxmlformats.org/drawingml/2006/main">
                  <a:graphicData uri="http://schemas.microsoft.com/office/word/2010/wordprocessingShape">
                    <wps:wsp>
                      <wps:cNvSpPr/>
                      <wps:spPr>
                        <a:xfrm>
                          <a:off x="0" y="0"/>
                          <a:ext cx="2213610" cy="51181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1830C215">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584D9354">
                            <w:pPr>
                              <w:jc w:val="center"/>
                              <w:rPr>
                                <w:color w:val="000000" w:themeColor="text1"/>
                                <w:sz w:val="28"/>
                                <w:szCs w:val="28"/>
                                <w14:textFill>
                                  <w14:solidFill>
                                    <w14:schemeClr w14:val="tx1"/>
                                  </w14:solidFill>
                                </w14:textFill>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1.5pt;margin-top:656.75pt;height:40.3pt;width:174.3pt;z-index:251681792;v-text-anchor:middle;mso-width-relative:page;mso-height-relative:page;" filled="f" stroked="f" coordsize="21600,21600" o:gfxdata="UEsDBAoAAAAAAIdO4kAAAAAAAAAAAAAAAAAEAAAAZHJzL1BLAwQUAAAACACHTuJAsQEpgtoAAAAN&#10;AQAADwAAAGRycy9kb3ducmV2LnhtbE2PwU7DMBBE70j8g7VI3KjjpqkgxKkqBEg90iAhbk68JIF4&#10;HcVu2v492xMcd2Y0+6bYnNwgZpxC70mDWiQgkBpve2o1vFcvd/cgQjRkzeAJNZwxwKa8vipMbv2R&#10;3nDex1ZwCYXcaOhiHHMpQ9OhM2HhRyT2vvzkTORzaqWdzJHL3SCXSbKWzvTEHzoz4lOHzc/+4DSE&#10;et5V53H78f0Zmnr7TK5a7V61vr1RySOIiKf4F4YLPqNDyUy1P5ANYtCwTFLeEtlIVZqB4EiWqTWI&#10;+iI9rBTIspD/V5S/UEsDBBQAAAAIAIdO4kDDtBYOUQIAAJgEAAAOAAAAZHJzL2Uyb0RvYy54bWyt&#10;VM1uEzEQviPxDpbvdLMh/SHqpooaFSFVUKkgzo7XzlryH7aTTXkZJG48BI+DeA0+e7dtVDj0wMWZ&#10;8cx+nu+bmZxf7I0mOxGicrah9dGEEmG5a5XdNPTTx6tXZ5TExGzLtLOioXci0ovFyxfnvZ+Lqeuc&#10;bkUgALFx3vuGdin5eVVF3gnD4pHzwiIoXTAswQ2bqg2sB7rR1XQyOal6F1ofHBcx4nY1BOmIGJ4D&#10;6KRUXKwc3xph04AahGYJlGKnfKSLUq2UgqcPUkaRiG4omKZy4hHY63xWi3M23wTmO8XHEthzSnjC&#10;yTBl8egD1IolRrZB/QVlFA8uOpmOuDPVQKQoAhb15Ik2tx3zonCB1NE/iB7/Hyx/v7sJRLUNnZ1S&#10;YplBx39/+/Hr53eCC6jT+zhH0q2/CaMXYWaqexlM/gUJsi+K3j0oKvaJcFxOp/Xrkxpic8SO6/oM&#10;NmCqx699iOmtcIZko6EBHStCst11TEPqfUp+zLorpTXu2Vxb0uOF49kk4zOMosQIwDQedKLdUML0&#10;BjPOUyiQB99myBWLHdkxDEZ0WrVjXdqivEx6oJmttF/vR+5r195Br+CGQYqeXylAXbOYbljA5KAU&#10;7Fb6gENqh/rcaFHSufD1X/c5Hw1FlJIek4h6vmxZEJTodxatflPPZoBNxZkdn07hhMPI+jBit+bS&#10;gVONLfa8mDk/6XtTBmc+YwWX+VWEmOV4e1BpdC7TsCFYYi6Wy5KGcfUsXdtbzzP40IvlNjmpSpuy&#10;UIM6o34Y2NLocbnyRhz6JevxD2XxB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LEBKYLaAAAADQEA&#10;AA8AAAAAAAAAAQAgAAAAIgAAAGRycy9kb3ducmV2LnhtbFBLAQIUABQAAAAIAIdO4kDDtBYOUQIA&#10;AJgEAAAOAAAAAAAAAAEAIAAAACkBAABkcnMvZTJvRG9jLnhtbFBLBQYAAAAABgAGAFkBAADsBQAA&#10;AAA=&#10;">
                <v:fill on="f" focussize="0,0"/>
                <v:stroke on="f" weight="2pt"/>
                <v:imagedata o:title=""/>
                <o:lock v:ext="edit" aspectratio="f"/>
                <v:textbox>
                  <w:txbxContent>
                    <w:p w14:paraId="1830C215">
                      <w:pPr>
                        <w:pStyle w:val="5"/>
                        <w:spacing w:line="360" w:lineRule="auto"/>
                        <w:ind w:firstLine="0" w:firstLineChars="0"/>
                        <w:jc w:val="center"/>
                        <w:rPr>
                          <w:rFonts w:cs="Times New Roman" w:asciiTheme="minorEastAsia" w:hAnsiTheme="minorEastAsia"/>
                          <w:b/>
                          <w:color w:val="000000" w:themeColor="text1"/>
                          <w:sz w:val="28"/>
                          <w:szCs w:val="28"/>
                          <w14:textFill>
                            <w14:solidFill>
                              <w14:schemeClr w14:val="tx1"/>
                            </w14:solidFill>
                          </w14:textFill>
                        </w:rPr>
                      </w:pPr>
                      <w:r>
                        <w:rPr>
                          <w:rFonts w:cs="Times New Roman" w:asciiTheme="minorEastAsia" w:hAnsiTheme="minorEastAsia"/>
                          <w:b/>
                          <w:color w:val="000000" w:themeColor="text1"/>
                          <w:sz w:val="28"/>
                          <w:szCs w:val="28"/>
                          <w14:textFill>
                            <w14:solidFill>
                              <w14:schemeClr w14:val="tx1"/>
                            </w14:solidFill>
                          </w14:textFill>
                        </w:rPr>
                        <w:t>道路</w:t>
                      </w:r>
                      <w:r>
                        <w:rPr>
                          <w:rFonts w:hint="eastAsia" w:cs="Times New Roman" w:asciiTheme="minorEastAsia" w:hAnsiTheme="minorEastAsia"/>
                          <w:b/>
                          <w:color w:val="000000" w:themeColor="text1"/>
                          <w:sz w:val="28"/>
                          <w:szCs w:val="28"/>
                          <w:lang w:eastAsia="zh-CN"/>
                          <w14:textFill>
                            <w14:solidFill>
                              <w14:schemeClr w14:val="tx1"/>
                            </w14:solidFill>
                          </w14:textFill>
                        </w:rPr>
                        <w:t>交通</w:t>
                      </w:r>
                      <w:r>
                        <w:rPr>
                          <w:rFonts w:cs="Times New Roman" w:asciiTheme="minorEastAsia" w:hAnsiTheme="minorEastAsia"/>
                          <w:b/>
                          <w:color w:val="000000" w:themeColor="text1"/>
                          <w:sz w:val="28"/>
                          <w:szCs w:val="28"/>
                          <w14:textFill>
                            <w14:solidFill>
                              <w14:schemeClr w14:val="tx1"/>
                            </w14:solidFill>
                          </w14:textFill>
                        </w:rPr>
                        <w:t>设计说明</w:t>
                      </w:r>
                    </w:p>
                    <w:p w14:paraId="584D9354">
                      <w:pPr>
                        <w:jc w:val="center"/>
                        <w:rPr>
                          <w:color w:val="000000" w:themeColor="text1"/>
                          <w:sz w:val="28"/>
                          <w:szCs w:val="28"/>
                          <w14:textFill>
                            <w14:solidFill>
                              <w14:schemeClr w14:val="tx1"/>
                            </w14:solidFill>
                          </w14:textFill>
                        </w:rPr>
                      </w:pPr>
                    </w:p>
                  </w:txbxContent>
                </v:textbox>
              </v:rect>
            </w:pict>
          </mc:Fallback>
        </mc:AlternateContent>
      </w:r>
      <w:r>
        <w:rPr>
          <w:rFonts w:hint="eastAsia" w:asciiTheme="minorEastAsia" w:hAnsiTheme="minorEastAsia" w:eastAsiaTheme="minorEastAsia" w:cstheme="minorEastAsia"/>
          <w:kern w:val="0"/>
          <w:sz w:val="24"/>
          <w:szCs w:val="24"/>
          <w:highlight w:val="none"/>
        </w:rPr>
        <w:t>标线有可能阻水时，应沿排水方向设置排</w:t>
      </w:r>
      <w:r>
        <w:rPr>
          <w:rFonts w:hint="eastAsia" w:asciiTheme="minorEastAsia" w:hAnsiTheme="minorEastAsia"/>
          <w:kern w:val="0"/>
          <w:sz w:val="24"/>
          <w:lang w:val="zh-CN" w:eastAsia="zh-CN"/>
        </w:rPr>
        <mc:AlternateContent>
          <mc:Choice Requires="wps">
            <w:drawing>
              <wp:anchor distT="0" distB="0" distL="114300" distR="114300" simplePos="0" relativeHeight="251673600" behindDoc="0" locked="0" layoutInCell="1" allowOverlap="1">
                <wp:simplePos x="0" y="0"/>
                <wp:positionH relativeFrom="column">
                  <wp:posOffset>8546465</wp:posOffset>
                </wp:positionH>
                <wp:positionV relativeFrom="paragraph">
                  <wp:posOffset>8472805</wp:posOffset>
                </wp:positionV>
                <wp:extent cx="648970" cy="485140"/>
                <wp:effectExtent l="0" t="0" r="0" b="0"/>
                <wp:wrapNone/>
                <wp:docPr id="39" name="矩形 39"/>
                <wp:cNvGraphicFramePr/>
                <a:graphic xmlns:a="http://schemas.openxmlformats.org/drawingml/2006/main">
                  <a:graphicData uri="http://schemas.microsoft.com/office/word/2010/wordprocessingShape">
                    <wps:wsp>
                      <wps:cNvSpPr/>
                      <wps:spPr>
                        <a:xfrm>
                          <a:off x="0" y="0"/>
                          <a:ext cx="648970" cy="485140"/>
                        </a:xfrm>
                        <a:prstGeom prst="rect">
                          <a:avLst/>
                        </a:prstGeom>
                        <a:noFill/>
                        <a:ln>
                          <a:noFill/>
                        </a:ln>
                      </wps:spPr>
                      <wps:style>
                        <a:lnRef idx="2">
                          <a:schemeClr val="accent1">
                            <a:lumMod val="75000"/>
                          </a:schemeClr>
                        </a:lnRef>
                        <a:fillRef idx="1">
                          <a:schemeClr val="accent1"/>
                        </a:fillRef>
                        <a:effectRef idx="0">
                          <a:srgbClr val="FFFFFF"/>
                        </a:effectRef>
                        <a:fontRef idx="minor">
                          <a:schemeClr val="lt1"/>
                        </a:fontRef>
                      </wps:style>
                      <wps:txbx>
                        <w:txbxContent>
                          <w:p w14:paraId="6E19DAE9">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72.95pt;margin-top:667.15pt;height:38.2pt;width:51.1pt;z-index:251673600;v-text-anchor:middle;mso-width-relative:page;mso-height-relative:page;" filled="f" stroked="f" coordsize="21600,21600" o:gfxdata="UEsDBAoAAAAAAIdO4kAAAAAAAAAAAAAAAAAEAAAAZHJzL1BLAwQUAAAACACHTuJAFgoWqdoAAAAP&#10;AQAADwAAAGRycy9kb3ducmV2LnhtbE2PwU7DMBBE70j8g7VI3KgdYqCEOFWFAKnHNkhVb068JIF4&#10;HcVu2v49zgluM9qn2Zl8dbY9m3D0nSMFyUIAQ6qd6ahR8Fm+3y2B+aDJ6N4RKrigh1VxfZXrzLgT&#10;bXHahYbFEPKZVtCGMGSc+7pFq/3CDUjx9uVGq0O0Y8PNqE8x3Pb8XohHbnVH8UOrB3xtsf7ZHa0C&#10;X02b8jKs998HX1frN7Kl3HwodXuTiBdgAc/hD4a5fqwORexUuSMZz/roU/nwHNlZpTIFNjNSLhNg&#10;1awS8QS8yPn/HcUvUEsDBBQAAAAIAIdO4kDjPBlTUwIAAJcEAAAOAAAAZHJzL2Uyb0RvYy54bWyt&#10;VEtu2zAQ3RfoHQjuG9mu8zMiB0aMFAWCJkBadE1TpEWAv5K05fQyBbrrIXqcotfoI6U4RtpFFt1I&#10;M5zRG743M7q43BlNtiJE5WxNx0cjSoTlrlF2XdNPH6/fnFESE7MN086Kmj6ISC/nr19ddH4mJq51&#10;uhGBAMTGWedr2qbkZ1UVeSsMi0fOC4ugdMGwBDesqyawDuhGV5PR6KTqXGh8cFzEiNNlH6QDYngJ&#10;oJNScbF0fGOETT1qEJolUIqt8pHOy22lFDzdShlFIrqmYJrKE0Vgr/Kzml+w2Tow3yo+XIG95ArP&#10;OBmmLIruoZYsMbIJ6i8oo3hw0cl0xJ2peiJFEbAYj55pc98yLwoXSB39XvT4/2D5h+1dIKqp6dtz&#10;Siwz6Pjvbz9+/fxOcAB1Oh9nSLr3d2HwIsxMdSeDyW+QILui6MNeUbFLhOPwZHp2fgqtOULTs+Px&#10;tChePX3sQ0zvhDMkGzUNaFjRkW1vYkJBpD6m5FrWXSutS9O0JV1NJ8fTUcZnmESJCYBpPNhEu6aE&#10;6TVGnKdQIA++zZBLFluyZZiL6LRqMlcU0xavzLlnma20W+0G6ivXPECu4Po5ip5fK0DdsJjuWMDg&#10;4CpYrXSLh9QO93ODRUnrwtd/ned89BNRSjoMIu7zZcOCoES/t+j0+XgK1UgqzvT4dAInHEZWhxG7&#10;MVcOnMZYYs+LmfOTfjRlcOYzNnCRqyLELEftXqXBuUr9gmCHuVgsShqm1bN0Y+89z+B9Lxab5KQq&#10;bcpC9eoM+mFei6DDbuWFOPRL1tP/ZP4H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FgoWqdoAAAAP&#10;AQAADwAAAAAAAAABACAAAAAiAAAAZHJzL2Rvd25yZXYueG1sUEsBAhQAFAAAAAgAh07iQOM8GVNT&#10;AgAAlwQAAA4AAAAAAAAAAQAgAAAAKQEAAGRycy9lMm9Eb2MueG1sUEsFBgAAAAAGAAYAWQEAAO4F&#10;AAAAAA==&#10;">
                <v:fill on="f" focussize="0,0"/>
                <v:stroke on="f" weight="2pt"/>
                <v:imagedata o:title=""/>
                <o:lock v:ext="edit" aspectratio="f"/>
                <v:textbox>
                  <w:txbxContent>
                    <w:p w14:paraId="6E19DAE9">
                      <w:pPr>
                        <w:jc w:val="center"/>
                        <w:rPr>
                          <w:rFonts w:hint="default" w:eastAsiaTheme="minorEastAsia"/>
                          <w:color w:val="000000" w:themeColor="text1"/>
                          <w:sz w:val="24"/>
                          <w:szCs w:val="24"/>
                          <w:lang w:val="en-US" w:eastAsia="zh-CN"/>
                          <w14:textFill>
                            <w14:solidFill>
                              <w14:schemeClr w14:val="tx1"/>
                            </w14:solidFill>
                          </w14:textFill>
                        </w:rPr>
                      </w:pPr>
                      <w:r>
                        <w:rPr>
                          <w:rFonts w:hint="eastAsia" w:cs="Times New Roman" w:asciiTheme="minorEastAsia" w:hAnsiTheme="minorEastAsia"/>
                          <w:b/>
                          <w:color w:val="000000" w:themeColor="text1"/>
                          <w:sz w:val="24"/>
                          <w:szCs w:val="24"/>
                          <w:lang w:val="en-US" w:eastAsia="zh-CN"/>
                          <w14:textFill>
                            <w14:solidFill>
                              <w14:schemeClr w14:val="tx1"/>
                            </w14:solidFill>
                          </w14:textFill>
                        </w:rPr>
                        <w:t>01</w:t>
                      </w:r>
                    </w:p>
                  </w:txbxContent>
                </v:textbox>
              </v:rect>
            </w:pict>
          </mc:Fallback>
        </mc:AlternateContent>
      </w:r>
      <w:r>
        <w:rPr>
          <w:rFonts w:hint="eastAsia" w:asciiTheme="minorEastAsia" w:hAnsiTheme="minorEastAsia" w:eastAsiaTheme="minorEastAsia" w:cstheme="minorEastAsia"/>
          <w:kern w:val="0"/>
          <w:sz w:val="24"/>
          <w:szCs w:val="24"/>
          <w:highlight w:val="none"/>
        </w:rPr>
        <w:t>水缝，排水缝一般为</w:t>
      </w:r>
      <w:r>
        <w:rPr>
          <w:rFonts w:hint="eastAsia" w:asciiTheme="minorEastAsia" w:hAnsiTheme="minorEastAsia" w:eastAsiaTheme="minorEastAsia" w:cstheme="minorEastAsia"/>
          <w:kern w:val="0"/>
          <w:sz w:val="24"/>
          <w:szCs w:val="24"/>
          <w:highlight w:val="none"/>
          <w:lang w:val="en-US" w:eastAsia="zh-CN"/>
        </w:rPr>
        <w:t>3</w:t>
      </w:r>
      <w:r>
        <w:rPr>
          <w:rFonts w:hint="eastAsia" w:asciiTheme="minorEastAsia" w:hAnsiTheme="minorEastAsia" w:eastAsiaTheme="minorEastAsia" w:cstheme="minorEastAsia"/>
          <w:kern w:val="0"/>
          <w:sz w:val="24"/>
          <w:szCs w:val="24"/>
          <w:highlight w:val="none"/>
        </w:rPr>
        <w:t>～5cm</w:t>
      </w:r>
      <w:r>
        <w:rPr>
          <w:rFonts w:hint="eastAsia" w:asciiTheme="minorEastAsia" w:hAnsiTheme="minorEastAsia" w:cstheme="minorEastAsia"/>
          <w:kern w:val="0"/>
          <w:sz w:val="24"/>
          <w:szCs w:val="24"/>
          <w:highlight w:val="none"/>
          <w:lang w:eastAsia="zh-CN"/>
        </w:rPr>
        <w:t>。</w:t>
      </w:r>
    </w:p>
    <w:sectPr>
      <w:type w:val="continuous"/>
      <w:pgSz w:w="31680" w:h="22394" w:orient="landscape"/>
      <w:pgMar w:top="1417" w:right="1134" w:bottom="1701" w:left="2835" w:header="850" w:footer="992" w:gutter="0"/>
      <w:pgBorders>
        <w:top w:val="none" w:sz="0" w:space="0"/>
        <w:left w:val="none" w:sz="0" w:space="0"/>
        <w:bottom w:val="none" w:sz="0" w:space="0"/>
        <w:right w:val="none" w:sz="0" w:space="0"/>
      </w:pgBorders>
      <w:cols w:space="425" w:num="2"/>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仿宋_GB2312">
    <w:panose1 w:val="02010609030101010101"/>
    <w:charset w:val="86"/>
    <w:family w:val="modern"/>
    <w:pitch w:val="default"/>
    <w:sig w:usb0="00000001" w:usb1="080E0000" w:usb2="0000000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方正准圆简体2.">
    <w:altName w:val="宋体"/>
    <w:panose1 w:val="00000000000000000000"/>
    <w:charset w:val="86"/>
    <w:family w:val="swiss"/>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879F30">
    <w:pPr>
      <w:pStyle w:val="22"/>
      <w:pBdr>
        <w:bottom w:val="none" w:color="auto" w:sz="0" w:space="1"/>
      </w:pBdr>
      <w:jc w:val="left"/>
      <w:rPr>
        <w:rFonts w:hint="eastAsia" w:eastAsiaTheme="minorEastAsia"/>
        <w:sz w:val="21"/>
        <w:szCs w:val="21"/>
        <w:lang w:eastAsia="zh-CN"/>
      </w:rPr>
    </w:pPr>
    <w:r>
      <w:rPr>
        <w:rFonts w:hint="eastAsia" w:eastAsiaTheme="minorEastAsia"/>
        <w:sz w:val="21"/>
        <w:szCs w:val="21"/>
        <w:lang w:eastAsia="zh-CN"/>
      </w:rPr>
      <w:drawing>
        <wp:anchor distT="0" distB="0" distL="114300" distR="114300" simplePos="0" relativeHeight="251659264" behindDoc="1" locked="0" layoutInCell="1" allowOverlap="1">
          <wp:simplePos x="0" y="0"/>
          <wp:positionH relativeFrom="column">
            <wp:posOffset>-1783715</wp:posOffset>
          </wp:positionH>
          <wp:positionV relativeFrom="paragraph">
            <wp:posOffset>-588010</wp:posOffset>
          </wp:positionV>
          <wp:extent cx="20146645" cy="14246860"/>
          <wp:effectExtent l="0" t="0" r="8255" b="2540"/>
          <wp:wrapNone/>
          <wp:docPr id="20" name="图片 20" descr="H:/工作文件/2024年工作/慈岭村/图审成果/道路部分/2024.08.09中新镇慈岭村2024年度市级美丽乡村建设工程（道路交通部分）-Model.jpg2024.08.09中新镇慈岭村2024年度市级美丽乡村建设工程（道路交通部分）-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H:/工作文件/2024年工作/慈岭村/图审成果/道路部分/2024.08.09中新镇慈岭村2024年度市级美丽乡村建设工程（道路交通部分）-Model.jpg2024.08.09中新镇慈岭村2024年度市级美丽乡村建设工程（道路交通部分）-Model"/>
                  <pic:cNvPicPr>
                    <a:picLocks noChangeAspect="1"/>
                  </pic:cNvPicPr>
                </pic:nvPicPr>
                <pic:blipFill>
                  <a:blip r:embed="rId1"/>
                  <a:srcRect/>
                  <a:stretch>
                    <a:fillRect/>
                  </a:stretch>
                </pic:blipFill>
                <pic:spPr>
                  <a:xfrm>
                    <a:off x="0" y="0"/>
                    <a:ext cx="20146645" cy="1424686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825E6C"/>
    <w:multiLevelType w:val="multilevel"/>
    <w:tmpl w:val="1C825E6C"/>
    <w:lvl w:ilvl="0" w:tentative="0">
      <w:start w:val="1"/>
      <w:numFmt w:val="lowerLetter"/>
      <w:lvlText w:val="%1)"/>
      <w:lvlJc w:val="left"/>
      <w:pPr>
        <w:ind w:left="704"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25F04A9"/>
    <w:multiLevelType w:val="multilevel"/>
    <w:tmpl w:val="425F04A9"/>
    <w:lvl w:ilvl="0" w:tentative="0">
      <w:start w:val="1"/>
      <w:numFmt w:val="lowerLetter"/>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670D501"/>
    <w:multiLevelType w:val="singleLevel"/>
    <w:tmpl w:val="4670D501"/>
    <w:lvl w:ilvl="0" w:tentative="0">
      <w:start w:val="2"/>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1"/>
  <w:bordersDoNotSurroundFooter w:val="1"/>
  <w:documentProtection w:enforcement="0"/>
  <w:defaultTabStop w:val="420"/>
  <w:drawingGridHorizontalSpacing w:val="105"/>
  <w:drawingGridVerticalSpacing w:val="157"/>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FhODZhMTZmNWE4ZWJkZDQ3OWIyYzk5NTdhMWI1MzUifQ=="/>
  </w:docVars>
  <w:rsids>
    <w:rsidRoot w:val="00172A27"/>
    <w:rsid w:val="000020B2"/>
    <w:rsid w:val="00003555"/>
    <w:rsid w:val="00005960"/>
    <w:rsid w:val="00016519"/>
    <w:rsid w:val="00020058"/>
    <w:rsid w:val="00025D4F"/>
    <w:rsid w:val="00030F43"/>
    <w:rsid w:val="00032D50"/>
    <w:rsid w:val="00033056"/>
    <w:rsid w:val="0003520D"/>
    <w:rsid w:val="00037DB7"/>
    <w:rsid w:val="000427E6"/>
    <w:rsid w:val="00043607"/>
    <w:rsid w:val="00044083"/>
    <w:rsid w:val="00052572"/>
    <w:rsid w:val="00053D59"/>
    <w:rsid w:val="000545E1"/>
    <w:rsid w:val="000553DB"/>
    <w:rsid w:val="000559B8"/>
    <w:rsid w:val="00056F92"/>
    <w:rsid w:val="00061F46"/>
    <w:rsid w:val="00061F5A"/>
    <w:rsid w:val="00064497"/>
    <w:rsid w:val="000677ED"/>
    <w:rsid w:val="00067D62"/>
    <w:rsid w:val="00072A50"/>
    <w:rsid w:val="00073887"/>
    <w:rsid w:val="000743B5"/>
    <w:rsid w:val="00082E41"/>
    <w:rsid w:val="0008304B"/>
    <w:rsid w:val="00083117"/>
    <w:rsid w:val="00083E45"/>
    <w:rsid w:val="000852C8"/>
    <w:rsid w:val="000906EF"/>
    <w:rsid w:val="00090C53"/>
    <w:rsid w:val="00092929"/>
    <w:rsid w:val="00097003"/>
    <w:rsid w:val="000A4B12"/>
    <w:rsid w:val="000B1A49"/>
    <w:rsid w:val="000B522F"/>
    <w:rsid w:val="000B625D"/>
    <w:rsid w:val="000C1241"/>
    <w:rsid w:val="000C5D4C"/>
    <w:rsid w:val="000C649A"/>
    <w:rsid w:val="000C6B64"/>
    <w:rsid w:val="000D09A5"/>
    <w:rsid w:val="000D15D3"/>
    <w:rsid w:val="000D3460"/>
    <w:rsid w:val="000E3074"/>
    <w:rsid w:val="000E32E3"/>
    <w:rsid w:val="000E52B9"/>
    <w:rsid w:val="000E5537"/>
    <w:rsid w:val="000E6931"/>
    <w:rsid w:val="000E78B9"/>
    <w:rsid w:val="000F0DF4"/>
    <w:rsid w:val="000F177B"/>
    <w:rsid w:val="000F60C1"/>
    <w:rsid w:val="000F656B"/>
    <w:rsid w:val="00111BF6"/>
    <w:rsid w:val="00112E42"/>
    <w:rsid w:val="00113459"/>
    <w:rsid w:val="00114BF3"/>
    <w:rsid w:val="00116FBB"/>
    <w:rsid w:val="001205BD"/>
    <w:rsid w:val="00123B56"/>
    <w:rsid w:val="00124AEB"/>
    <w:rsid w:val="0012774E"/>
    <w:rsid w:val="00130056"/>
    <w:rsid w:val="00134D0C"/>
    <w:rsid w:val="0013765A"/>
    <w:rsid w:val="00143A7C"/>
    <w:rsid w:val="00145380"/>
    <w:rsid w:val="00152006"/>
    <w:rsid w:val="00153F6D"/>
    <w:rsid w:val="00160B81"/>
    <w:rsid w:val="001630F4"/>
    <w:rsid w:val="00164A88"/>
    <w:rsid w:val="00164F58"/>
    <w:rsid w:val="00167197"/>
    <w:rsid w:val="0016788A"/>
    <w:rsid w:val="00171B54"/>
    <w:rsid w:val="00172A27"/>
    <w:rsid w:val="00174B65"/>
    <w:rsid w:val="00176753"/>
    <w:rsid w:val="00182A6C"/>
    <w:rsid w:val="00185A6F"/>
    <w:rsid w:val="00191D40"/>
    <w:rsid w:val="00191F3F"/>
    <w:rsid w:val="001922B6"/>
    <w:rsid w:val="00195026"/>
    <w:rsid w:val="00195738"/>
    <w:rsid w:val="001A2DC4"/>
    <w:rsid w:val="001B60A5"/>
    <w:rsid w:val="001D0279"/>
    <w:rsid w:val="001D1243"/>
    <w:rsid w:val="001D3905"/>
    <w:rsid w:val="001E0E5C"/>
    <w:rsid w:val="001E184E"/>
    <w:rsid w:val="001E2E5B"/>
    <w:rsid w:val="001E6368"/>
    <w:rsid w:val="001F362B"/>
    <w:rsid w:val="001F3D1E"/>
    <w:rsid w:val="001F6E37"/>
    <w:rsid w:val="001F741C"/>
    <w:rsid w:val="00202C8D"/>
    <w:rsid w:val="00207126"/>
    <w:rsid w:val="00214B12"/>
    <w:rsid w:val="00214F08"/>
    <w:rsid w:val="002206DF"/>
    <w:rsid w:val="0022131B"/>
    <w:rsid w:val="00221C40"/>
    <w:rsid w:val="0023388E"/>
    <w:rsid w:val="00237E24"/>
    <w:rsid w:val="00240100"/>
    <w:rsid w:val="00240458"/>
    <w:rsid w:val="00247F38"/>
    <w:rsid w:val="0025022B"/>
    <w:rsid w:val="00251749"/>
    <w:rsid w:val="00251754"/>
    <w:rsid w:val="002635C6"/>
    <w:rsid w:val="00272263"/>
    <w:rsid w:val="00277E3E"/>
    <w:rsid w:val="00283A2A"/>
    <w:rsid w:val="00287830"/>
    <w:rsid w:val="00287ABA"/>
    <w:rsid w:val="002947E9"/>
    <w:rsid w:val="002A0804"/>
    <w:rsid w:val="002A4763"/>
    <w:rsid w:val="002A4DC6"/>
    <w:rsid w:val="002B1E31"/>
    <w:rsid w:val="002B2897"/>
    <w:rsid w:val="002B54FB"/>
    <w:rsid w:val="002B6AA4"/>
    <w:rsid w:val="002C0B91"/>
    <w:rsid w:val="002D1014"/>
    <w:rsid w:val="002D2429"/>
    <w:rsid w:val="002D2F1C"/>
    <w:rsid w:val="002D3C49"/>
    <w:rsid w:val="002D7CBB"/>
    <w:rsid w:val="002E4250"/>
    <w:rsid w:val="002E649D"/>
    <w:rsid w:val="002E67B2"/>
    <w:rsid w:val="002F1594"/>
    <w:rsid w:val="002F1E0B"/>
    <w:rsid w:val="002F30B1"/>
    <w:rsid w:val="002F49E5"/>
    <w:rsid w:val="00302141"/>
    <w:rsid w:val="00312D26"/>
    <w:rsid w:val="00321FA5"/>
    <w:rsid w:val="00330E1C"/>
    <w:rsid w:val="00336D4F"/>
    <w:rsid w:val="00340058"/>
    <w:rsid w:val="00341D19"/>
    <w:rsid w:val="00344C79"/>
    <w:rsid w:val="0034637C"/>
    <w:rsid w:val="00350205"/>
    <w:rsid w:val="00350F68"/>
    <w:rsid w:val="00352FA5"/>
    <w:rsid w:val="003532BA"/>
    <w:rsid w:val="00353472"/>
    <w:rsid w:val="00354086"/>
    <w:rsid w:val="00356949"/>
    <w:rsid w:val="003606F8"/>
    <w:rsid w:val="0036429E"/>
    <w:rsid w:val="00365F55"/>
    <w:rsid w:val="003744E0"/>
    <w:rsid w:val="00374AA7"/>
    <w:rsid w:val="00377C86"/>
    <w:rsid w:val="0038094D"/>
    <w:rsid w:val="00382A76"/>
    <w:rsid w:val="003871F2"/>
    <w:rsid w:val="003908B3"/>
    <w:rsid w:val="00391147"/>
    <w:rsid w:val="00392860"/>
    <w:rsid w:val="00392867"/>
    <w:rsid w:val="003A10A1"/>
    <w:rsid w:val="003A43A5"/>
    <w:rsid w:val="003A44AF"/>
    <w:rsid w:val="003A492E"/>
    <w:rsid w:val="003A59EB"/>
    <w:rsid w:val="003A694F"/>
    <w:rsid w:val="003A6BE6"/>
    <w:rsid w:val="003B03E1"/>
    <w:rsid w:val="003B12D7"/>
    <w:rsid w:val="003B27A7"/>
    <w:rsid w:val="003B3568"/>
    <w:rsid w:val="003B3F32"/>
    <w:rsid w:val="003B4D61"/>
    <w:rsid w:val="003B53A3"/>
    <w:rsid w:val="003B60A1"/>
    <w:rsid w:val="003C0B46"/>
    <w:rsid w:val="003C2C12"/>
    <w:rsid w:val="003C67AE"/>
    <w:rsid w:val="003C7F94"/>
    <w:rsid w:val="003D67A8"/>
    <w:rsid w:val="003D6C6E"/>
    <w:rsid w:val="003D6DFE"/>
    <w:rsid w:val="003E6812"/>
    <w:rsid w:val="003E6E09"/>
    <w:rsid w:val="003F130D"/>
    <w:rsid w:val="003F3160"/>
    <w:rsid w:val="00401A5D"/>
    <w:rsid w:val="00402799"/>
    <w:rsid w:val="00402DD3"/>
    <w:rsid w:val="0040477E"/>
    <w:rsid w:val="00404DC3"/>
    <w:rsid w:val="00406B1B"/>
    <w:rsid w:val="00407497"/>
    <w:rsid w:val="004141C6"/>
    <w:rsid w:val="004178A2"/>
    <w:rsid w:val="00423F48"/>
    <w:rsid w:val="00424B3D"/>
    <w:rsid w:val="0042550B"/>
    <w:rsid w:val="00425BC1"/>
    <w:rsid w:val="0043016B"/>
    <w:rsid w:val="00432831"/>
    <w:rsid w:val="00433F63"/>
    <w:rsid w:val="00444412"/>
    <w:rsid w:val="0044791A"/>
    <w:rsid w:val="00450367"/>
    <w:rsid w:val="0045374D"/>
    <w:rsid w:val="00455395"/>
    <w:rsid w:val="004567DE"/>
    <w:rsid w:val="00456B5B"/>
    <w:rsid w:val="00457C86"/>
    <w:rsid w:val="00462A50"/>
    <w:rsid w:val="004633DB"/>
    <w:rsid w:val="004702F1"/>
    <w:rsid w:val="0048077C"/>
    <w:rsid w:val="004817E5"/>
    <w:rsid w:val="00482407"/>
    <w:rsid w:val="0048426E"/>
    <w:rsid w:val="00485164"/>
    <w:rsid w:val="0048537A"/>
    <w:rsid w:val="004878A4"/>
    <w:rsid w:val="004901BC"/>
    <w:rsid w:val="004905CF"/>
    <w:rsid w:val="00493B5D"/>
    <w:rsid w:val="004A655A"/>
    <w:rsid w:val="004A6F0F"/>
    <w:rsid w:val="004B4AC7"/>
    <w:rsid w:val="004C0934"/>
    <w:rsid w:val="004C120B"/>
    <w:rsid w:val="004C5803"/>
    <w:rsid w:val="004C5AEE"/>
    <w:rsid w:val="004C5B50"/>
    <w:rsid w:val="004D31BD"/>
    <w:rsid w:val="004D6C2F"/>
    <w:rsid w:val="004E14E7"/>
    <w:rsid w:val="004E319F"/>
    <w:rsid w:val="004F06FD"/>
    <w:rsid w:val="004F232A"/>
    <w:rsid w:val="004F2889"/>
    <w:rsid w:val="004F2ED3"/>
    <w:rsid w:val="004F5ECE"/>
    <w:rsid w:val="0050693D"/>
    <w:rsid w:val="00507D20"/>
    <w:rsid w:val="00510C01"/>
    <w:rsid w:val="005136C1"/>
    <w:rsid w:val="00516FB3"/>
    <w:rsid w:val="00521EF6"/>
    <w:rsid w:val="005279A6"/>
    <w:rsid w:val="00527B10"/>
    <w:rsid w:val="00530148"/>
    <w:rsid w:val="00530243"/>
    <w:rsid w:val="00531430"/>
    <w:rsid w:val="00533EEC"/>
    <w:rsid w:val="00535315"/>
    <w:rsid w:val="00536211"/>
    <w:rsid w:val="00542253"/>
    <w:rsid w:val="005440EB"/>
    <w:rsid w:val="005463FF"/>
    <w:rsid w:val="0055267D"/>
    <w:rsid w:val="00554F21"/>
    <w:rsid w:val="00557ED2"/>
    <w:rsid w:val="00565036"/>
    <w:rsid w:val="00565278"/>
    <w:rsid w:val="0056583B"/>
    <w:rsid w:val="005829A2"/>
    <w:rsid w:val="005836AE"/>
    <w:rsid w:val="00585FA3"/>
    <w:rsid w:val="00587369"/>
    <w:rsid w:val="00591EA6"/>
    <w:rsid w:val="00591FB7"/>
    <w:rsid w:val="00594D48"/>
    <w:rsid w:val="005A1269"/>
    <w:rsid w:val="005A2837"/>
    <w:rsid w:val="005A2E51"/>
    <w:rsid w:val="005A321E"/>
    <w:rsid w:val="005A4209"/>
    <w:rsid w:val="005B1B91"/>
    <w:rsid w:val="005B1D07"/>
    <w:rsid w:val="005B3E12"/>
    <w:rsid w:val="005C31AD"/>
    <w:rsid w:val="005C32DC"/>
    <w:rsid w:val="005C55A9"/>
    <w:rsid w:val="005C76D1"/>
    <w:rsid w:val="005D05D9"/>
    <w:rsid w:val="005D0FE2"/>
    <w:rsid w:val="005D10E8"/>
    <w:rsid w:val="005D1AA8"/>
    <w:rsid w:val="005D53E3"/>
    <w:rsid w:val="005E5CEA"/>
    <w:rsid w:val="005F2686"/>
    <w:rsid w:val="005F2975"/>
    <w:rsid w:val="005F31AF"/>
    <w:rsid w:val="005F58BB"/>
    <w:rsid w:val="00602478"/>
    <w:rsid w:val="00603A0E"/>
    <w:rsid w:val="0060788A"/>
    <w:rsid w:val="00610211"/>
    <w:rsid w:val="0062345B"/>
    <w:rsid w:val="00623923"/>
    <w:rsid w:val="00623A5D"/>
    <w:rsid w:val="00624490"/>
    <w:rsid w:val="00625731"/>
    <w:rsid w:val="00625EB8"/>
    <w:rsid w:val="00625FDC"/>
    <w:rsid w:val="0063209D"/>
    <w:rsid w:val="00635D5F"/>
    <w:rsid w:val="00641490"/>
    <w:rsid w:val="00642618"/>
    <w:rsid w:val="00646252"/>
    <w:rsid w:val="006479B5"/>
    <w:rsid w:val="00651CD3"/>
    <w:rsid w:val="00655234"/>
    <w:rsid w:val="0065764A"/>
    <w:rsid w:val="006607E8"/>
    <w:rsid w:val="006627D1"/>
    <w:rsid w:val="00665417"/>
    <w:rsid w:val="00666433"/>
    <w:rsid w:val="00667CBB"/>
    <w:rsid w:val="00671738"/>
    <w:rsid w:val="0067223A"/>
    <w:rsid w:val="006739DE"/>
    <w:rsid w:val="00674D9F"/>
    <w:rsid w:val="0067524A"/>
    <w:rsid w:val="00675912"/>
    <w:rsid w:val="00675BBB"/>
    <w:rsid w:val="00683EDF"/>
    <w:rsid w:val="00684575"/>
    <w:rsid w:val="0069565F"/>
    <w:rsid w:val="006956E2"/>
    <w:rsid w:val="00695EB4"/>
    <w:rsid w:val="006A00CC"/>
    <w:rsid w:val="006A1772"/>
    <w:rsid w:val="006A72A1"/>
    <w:rsid w:val="006B191D"/>
    <w:rsid w:val="006B2DEA"/>
    <w:rsid w:val="006B3A79"/>
    <w:rsid w:val="006C17B1"/>
    <w:rsid w:val="006C6354"/>
    <w:rsid w:val="006C7D64"/>
    <w:rsid w:val="006D16F4"/>
    <w:rsid w:val="006D4CD4"/>
    <w:rsid w:val="006D6FCB"/>
    <w:rsid w:val="006E3004"/>
    <w:rsid w:val="006E6CCC"/>
    <w:rsid w:val="006F0285"/>
    <w:rsid w:val="006F239A"/>
    <w:rsid w:val="006F419F"/>
    <w:rsid w:val="006F7312"/>
    <w:rsid w:val="007007D2"/>
    <w:rsid w:val="007030E8"/>
    <w:rsid w:val="007077C1"/>
    <w:rsid w:val="00711F70"/>
    <w:rsid w:val="007146B3"/>
    <w:rsid w:val="007217E4"/>
    <w:rsid w:val="0072241D"/>
    <w:rsid w:val="00722A6D"/>
    <w:rsid w:val="007255FB"/>
    <w:rsid w:val="00725DC2"/>
    <w:rsid w:val="00731A86"/>
    <w:rsid w:val="007335A5"/>
    <w:rsid w:val="00736080"/>
    <w:rsid w:val="007414BB"/>
    <w:rsid w:val="00743354"/>
    <w:rsid w:val="007438D8"/>
    <w:rsid w:val="00744F3F"/>
    <w:rsid w:val="00746B5A"/>
    <w:rsid w:val="0075080E"/>
    <w:rsid w:val="007525FB"/>
    <w:rsid w:val="0076240D"/>
    <w:rsid w:val="00763A08"/>
    <w:rsid w:val="007645F2"/>
    <w:rsid w:val="007659C9"/>
    <w:rsid w:val="00772E97"/>
    <w:rsid w:val="0077619C"/>
    <w:rsid w:val="00777652"/>
    <w:rsid w:val="00777EA4"/>
    <w:rsid w:val="00786D1B"/>
    <w:rsid w:val="00790406"/>
    <w:rsid w:val="00794101"/>
    <w:rsid w:val="007A174C"/>
    <w:rsid w:val="007A50B5"/>
    <w:rsid w:val="007B0F3A"/>
    <w:rsid w:val="007B2E7A"/>
    <w:rsid w:val="007B4F36"/>
    <w:rsid w:val="007B4FA3"/>
    <w:rsid w:val="007B5868"/>
    <w:rsid w:val="007C3761"/>
    <w:rsid w:val="007C3CB7"/>
    <w:rsid w:val="007C4123"/>
    <w:rsid w:val="007D224F"/>
    <w:rsid w:val="007D276E"/>
    <w:rsid w:val="007D28DF"/>
    <w:rsid w:val="007D3609"/>
    <w:rsid w:val="007D3726"/>
    <w:rsid w:val="007E17E3"/>
    <w:rsid w:val="007E4EA7"/>
    <w:rsid w:val="007F4E48"/>
    <w:rsid w:val="007F57F9"/>
    <w:rsid w:val="007F7BCF"/>
    <w:rsid w:val="008010DE"/>
    <w:rsid w:val="008014BF"/>
    <w:rsid w:val="00804835"/>
    <w:rsid w:val="00810253"/>
    <w:rsid w:val="0081582D"/>
    <w:rsid w:val="0082642A"/>
    <w:rsid w:val="008266A3"/>
    <w:rsid w:val="008330D1"/>
    <w:rsid w:val="00834CE2"/>
    <w:rsid w:val="008364BC"/>
    <w:rsid w:val="008456FE"/>
    <w:rsid w:val="008457B2"/>
    <w:rsid w:val="008500DF"/>
    <w:rsid w:val="008506B8"/>
    <w:rsid w:val="00854B5A"/>
    <w:rsid w:val="00857A57"/>
    <w:rsid w:val="00873E26"/>
    <w:rsid w:val="00882612"/>
    <w:rsid w:val="008827A1"/>
    <w:rsid w:val="00882E05"/>
    <w:rsid w:val="0089012A"/>
    <w:rsid w:val="00893394"/>
    <w:rsid w:val="00896C61"/>
    <w:rsid w:val="00896C6F"/>
    <w:rsid w:val="008A31C0"/>
    <w:rsid w:val="008A45B7"/>
    <w:rsid w:val="008A7C89"/>
    <w:rsid w:val="008B5693"/>
    <w:rsid w:val="008B59B2"/>
    <w:rsid w:val="008C13C4"/>
    <w:rsid w:val="008C1EB1"/>
    <w:rsid w:val="008C2E31"/>
    <w:rsid w:val="008D417E"/>
    <w:rsid w:val="008D4249"/>
    <w:rsid w:val="008D5A42"/>
    <w:rsid w:val="008E0CCC"/>
    <w:rsid w:val="008E52BB"/>
    <w:rsid w:val="008E52F3"/>
    <w:rsid w:val="008E6661"/>
    <w:rsid w:val="008E7B50"/>
    <w:rsid w:val="008F10EF"/>
    <w:rsid w:val="008F4065"/>
    <w:rsid w:val="0090086D"/>
    <w:rsid w:val="00901519"/>
    <w:rsid w:val="009046F9"/>
    <w:rsid w:val="0091093C"/>
    <w:rsid w:val="0091415A"/>
    <w:rsid w:val="00920EB2"/>
    <w:rsid w:val="00924E43"/>
    <w:rsid w:val="00925D06"/>
    <w:rsid w:val="0092706B"/>
    <w:rsid w:val="00930163"/>
    <w:rsid w:val="0093051F"/>
    <w:rsid w:val="009336EF"/>
    <w:rsid w:val="009343B0"/>
    <w:rsid w:val="00934F52"/>
    <w:rsid w:val="00935685"/>
    <w:rsid w:val="00940C29"/>
    <w:rsid w:val="00941281"/>
    <w:rsid w:val="009435AC"/>
    <w:rsid w:val="00944195"/>
    <w:rsid w:val="00944C09"/>
    <w:rsid w:val="00945E10"/>
    <w:rsid w:val="009534D5"/>
    <w:rsid w:val="00956127"/>
    <w:rsid w:val="00956306"/>
    <w:rsid w:val="00962254"/>
    <w:rsid w:val="00962EA8"/>
    <w:rsid w:val="009661B4"/>
    <w:rsid w:val="00971419"/>
    <w:rsid w:val="0097173E"/>
    <w:rsid w:val="00972845"/>
    <w:rsid w:val="00973318"/>
    <w:rsid w:val="00976316"/>
    <w:rsid w:val="00976581"/>
    <w:rsid w:val="00981499"/>
    <w:rsid w:val="00984DC7"/>
    <w:rsid w:val="00990B8C"/>
    <w:rsid w:val="009A029C"/>
    <w:rsid w:val="009A065A"/>
    <w:rsid w:val="009A0E2F"/>
    <w:rsid w:val="009A3B75"/>
    <w:rsid w:val="009A7D79"/>
    <w:rsid w:val="009A7EB7"/>
    <w:rsid w:val="009B7A20"/>
    <w:rsid w:val="009C41B4"/>
    <w:rsid w:val="009C4B7D"/>
    <w:rsid w:val="009C741A"/>
    <w:rsid w:val="009D079E"/>
    <w:rsid w:val="009D3EAB"/>
    <w:rsid w:val="009D47D5"/>
    <w:rsid w:val="009D4F5B"/>
    <w:rsid w:val="009D5C5B"/>
    <w:rsid w:val="009D6D90"/>
    <w:rsid w:val="009D771B"/>
    <w:rsid w:val="009F1C4F"/>
    <w:rsid w:val="009F367C"/>
    <w:rsid w:val="009F6EC8"/>
    <w:rsid w:val="00A06DD7"/>
    <w:rsid w:val="00A1203E"/>
    <w:rsid w:val="00A1496D"/>
    <w:rsid w:val="00A25052"/>
    <w:rsid w:val="00A34E33"/>
    <w:rsid w:val="00A370E6"/>
    <w:rsid w:val="00A37476"/>
    <w:rsid w:val="00A453A0"/>
    <w:rsid w:val="00A5054F"/>
    <w:rsid w:val="00A5657F"/>
    <w:rsid w:val="00A576CC"/>
    <w:rsid w:val="00A57B8F"/>
    <w:rsid w:val="00A610DA"/>
    <w:rsid w:val="00A64960"/>
    <w:rsid w:val="00A65CFA"/>
    <w:rsid w:val="00A6612C"/>
    <w:rsid w:val="00A713C0"/>
    <w:rsid w:val="00A720E5"/>
    <w:rsid w:val="00A752CC"/>
    <w:rsid w:val="00A86D73"/>
    <w:rsid w:val="00A931DA"/>
    <w:rsid w:val="00A94826"/>
    <w:rsid w:val="00A952C0"/>
    <w:rsid w:val="00A976E9"/>
    <w:rsid w:val="00AA290A"/>
    <w:rsid w:val="00AB037F"/>
    <w:rsid w:val="00AB277F"/>
    <w:rsid w:val="00AC1055"/>
    <w:rsid w:val="00AC32B4"/>
    <w:rsid w:val="00AC5A34"/>
    <w:rsid w:val="00AC5A48"/>
    <w:rsid w:val="00AC5A64"/>
    <w:rsid w:val="00AD1431"/>
    <w:rsid w:val="00AD4647"/>
    <w:rsid w:val="00AE0F9C"/>
    <w:rsid w:val="00AE3712"/>
    <w:rsid w:val="00AE4671"/>
    <w:rsid w:val="00AE4862"/>
    <w:rsid w:val="00AE5091"/>
    <w:rsid w:val="00AF1D05"/>
    <w:rsid w:val="00B01BFB"/>
    <w:rsid w:val="00B01F22"/>
    <w:rsid w:val="00B114A4"/>
    <w:rsid w:val="00B12938"/>
    <w:rsid w:val="00B13537"/>
    <w:rsid w:val="00B164D2"/>
    <w:rsid w:val="00B22109"/>
    <w:rsid w:val="00B232C0"/>
    <w:rsid w:val="00B24639"/>
    <w:rsid w:val="00B267C5"/>
    <w:rsid w:val="00B3049E"/>
    <w:rsid w:val="00B320CF"/>
    <w:rsid w:val="00B406BD"/>
    <w:rsid w:val="00B42258"/>
    <w:rsid w:val="00B42B93"/>
    <w:rsid w:val="00B43D07"/>
    <w:rsid w:val="00B43FF3"/>
    <w:rsid w:val="00B45F25"/>
    <w:rsid w:val="00B462E5"/>
    <w:rsid w:val="00B51715"/>
    <w:rsid w:val="00B51F9B"/>
    <w:rsid w:val="00B5465C"/>
    <w:rsid w:val="00B54AA8"/>
    <w:rsid w:val="00B557C4"/>
    <w:rsid w:val="00B55FB2"/>
    <w:rsid w:val="00B601E3"/>
    <w:rsid w:val="00B60889"/>
    <w:rsid w:val="00B650FE"/>
    <w:rsid w:val="00B651C2"/>
    <w:rsid w:val="00B662B0"/>
    <w:rsid w:val="00B7328F"/>
    <w:rsid w:val="00B7377E"/>
    <w:rsid w:val="00B83663"/>
    <w:rsid w:val="00B84D13"/>
    <w:rsid w:val="00B870E5"/>
    <w:rsid w:val="00B90685"/>
    <w:rsid w:val="00B909C4"/>
    <w:rsid w:val="00B95EF3"/>
    <w:rsid w:val="00BA2AF2"/>
    <w:rsid w:val="00BB2D6F"/>
    <w:rsid w:val="00BB3342"/>
    <w:rsid w:val="00BB4567"/>
    <w:rsid w:val="00BB5AE2"/>
    <w:rsid w:val="00BC0046"/>
    <w:rsid w:val="00BC1758"/>
    <w:rsid w:val="00BC2399"/>
    <w:rsid w:val="00BC2FC1"/>
    <w:rsid w:val="00BC4717"/>
    <w:rsid w:val="00BC55E2"/>
    <w:rsid w:val="00BC5CE5"/>
    <w:rsid w:val="00BD4190"/>
    <w:rsid w:val="00BE3BBC"/>
    <w:rsid w:val="00BE6AAE"/>
    <w:rsid w:val="00BF1E55"/>
    <w:rsid w:val="00BF2C49"/>
    <w:rsid w:val="00BF541F"/>
    <w:rsid w:val="00C06A1D"/>
    <w:rsid w:val="00C138EC"/>
    <w:rsid w:val="00C13D7D"/>
    <w:rsid w:val="00C17AB9"/>
    <w:rsid w:val="00C200C0"/>
    <w:rsid w:val="00C21480"/>
    <w:rsid w:val="00C23A4D"/>
    <w:rsid w:val="00C266A7"/>
    <w:rsid w:val="00C3428D"/>
    <w:rsid w:val="00C37B6A"/>
    <w:rsid w:val="00C440AD"/>
    <w:rsid w:val="00C47BA8"/>
    <w:rsid w:val="00C50BC4"/>
    <w:rsid w:val="00C55054"/>
    <w:rsid w:val="00C550E2"/>
    <w:rsid w:val="00C56296"/>
    <w:rsid w:val="00C57F12"/>
    <w:rsid w:val="00C61FCA"/>
    <w:rsid w:val="00C631C5"/>
    <w:rsid w:val="00C63BF2"/>
    <w:rsid w:val="00C71AB3"/>
    <w:rsid w:val="00C83BEE"/>
    <w:rsid w:val="00C84826"/>
    <w:rsid w:val="00C85F65"/>
    <w:rsid w:val="00C91FD4"/>
    <w:rsid w:val="00CA15F3"/>
    <w:rsid w:val="00CA1AFA"/>
    <w:rsid w:val="00CA2037"/>
    <w:rsid w:val="00CA3DE5"/>
    <w:rsid w:val="00CA4933"/>
    <w:rsid w:val="00CA5FBA"/>
    <w:rsid w:val="00CB0AA9"/>
    <w:rsid w:val="00CB137F"/>
    <w:rsid w:val="00CB6281"/>
    <w:rsid w:val="00CB6459"/>
    <w:rsid w:val="00CB71C3"/>
    <w:rsid w:val="00CC1E5F"/>
    <w:rsid w:val="00CC46FE"/>
    <w:rsid w:val="00CC72F7"/>
    <w:rsid w:val="00CD201B"/>
    <w:rsid w:val="00CD358F"/>
    <w:rsid w:val="00CD50E0"/>
    <w:rsid w:val="00CD5599"/>
    <w:rsid w:val="00CE2FAE"/>
    <w:rsid w:val="00CE58BF"/>
    <w:rsid w:val="00CE6908"/>
    <w:rsid w:val="00CF0015"/>
    <w:rsid w:val="00CF294F"/>
    <w:rsid w:val="00CF391D"/>
    <w:rsid w:val="00CF4CAC"/>
    <w:rsid w:val="00CF523A"/>
    <w:rsid w:val="00D04D3D"/>
    <w:rsid w:val="00D13D25"/>
    <w:rsid w:val="00D15C35"/>
    <w:rsid w:val="00D21238"/>
    <w:rsid w:val="00D23C2B"/>
    <w:rsid w:val="00D243C7"/>
    <w:rsid w:val="00D25638"/>
    <w:rsid w:val="00D27F9E"/>
    <w:rsid w:val="00D47BA9"/>
    <w:rsid w:val="00D56888"/>
    <w:rsid w:val="00D57B90"/>
    <w:rsid w:val="00D62B99"/>
    <w:rsid w:val="00D663FD"/>
    <w:rsid w:val="00D66889"/>
    <w:rsid w:val="00D67330"/>
    <w:rsid w:val="00D7632F"/>
    <w:rsid w:val="00D763D3"/>
    <w:rsid w:val="00D85A77"/>
    <w:rsid w:val="00D867B9"/>
    <w:rsid w:val="00D91390"/>
    <w:rsid w:val="00D957F5"/>
    <w:rsid w:val="00D95B3F"/>
    <w:rsid w:val="00DA3023"/>
    <w:rsid w:val="00DA3248"/>
    <w:rsid w:val="00DA3FB9"/>
    <w:rsid w:val="00DA4DB4"/>
    <w:rsid w:val="00DB0129"/>
    <w:rsid w:val="00DB030F"/>
    <w:rsid w:val="00DB1D60"/>
    <w:rsid w:val="00DB30AC"/>
    <w:rsid w:val="00DB6AEC"/>
    <w:rsid w:val="00DB7A92"/>
    <w:rsid w:val="00DC188C"/>
    <w:rsid w:val="00DC3711"/>
    <w:rsid w:val="00DC63F3"/>
    <w:rsid w:val="00DC6A3B"/>
    <w:rsid w:val="00DC71AB"/>
    <w:rsid w:val="00DD07A2"/>
    <w:rsid w:val="00DD2403"/>
    <w:rsid w:val="00DD294A"/>
    <w:rsid w:val="00DD34A1"/>
    <w:rsid w:val="00DD3C1F"/>
    <w:rsid w:val="00DD3C91"/>
    <w:rsid w:val="00DD42AB"/>
    <w:rsid w:val="00DD5673"/>
    <w:rsid w:val="00DD73CA"/>
    <w:rsid w:val="00DD7CBA"/>
    <w:rsid w:val="00DF1168"/>
    <w:rsid w:val="00DF16D5"/>
    <w:rsid w:val="00DF4E16"/>
    <w:rsid w:val="00E018A3"/>
    <w:rsid w:val="00E12570"/>
    <w:rsid w:val="00E143F6"/>
    <w:rsid w:val="00E152F4"/>
    <w:rsid w:val="00E17425"/>
    <w:rsid w:val="00E20EC0"/>
    <w:rsid w:val="00E21C62"/>
    <w:rsid w:val="00E24570"/>
    <w:rsid w:val="00E2472D"/>
    <w:rsid w:val="00E24B26"/>
    <w:rsid w:val="00E267F9"/>
    <w:rsid w:val="00E31781"/>
    <w:rsid w:val="00E3261C"/>
    <w:rsid w:val="00E36D3A"/>
    <w:rsid w:val="00E425AF"/>
    <w:rsid w:val="00E4295C"/>
    <w:rsid w:val="00E453EF"/>
    <w:rsid w:val="00E45421"/>
    <w:rsid w:val="00E45517"/>
    <w:rsid w:val="00E455A7"/>
    <w:rsid w:val="00E47F5F"/>
    <w:rsid w:val="00E55EFE"/>
    <w:rsid w:val="00E610F4"/>
    <w:rsid w:val="00E642CA"/>
    <w:rsid w:val="00E64FF1"/>
    <w:rsid w:val="00E655B7"/>
    <w:rsid w:val="00E65BD8"/>
    <w:rsid w:val="00E66E0F"/>
    <w:rsid w:val="00E6706D"/>
    <w:rsid w:val="00E72753"/>
    <w:rsid w:val="00E76E7C"/>
    <w:rsid w:val="00E77135"/>
    <w:rsid w:val="00E902A8"/>
    <w:rsid w:val="00E97847"/>
    <w:rsid w:val="00E97857"/>
    <w:rsid w:val="00E97CB5"/>
    <w:rsid w:val="00EA049B"/>
    <w:rsid w:val="00EA445F"/>
    <w:rsid w:val="00EA68A2"/>
    <w:rsid w:val="00EB5545"/>
    <w:rsid w:val="00EC0421"/>
    <w:rsid w:val="00EC1232"/>
    <w:rsid w:val="00EC1AEF"/>
    <w:rsid w:val="00EC72A7"/>
    <w:rsid w:val="00ED04CF"/>
    <w:rsid w:val="00ED2B26"/>
    <w:rsid w:val="00ED590E"/>
    <w:rsid w:val="00EE0C44"/>
    <w:rsid w:val="00EE1E72"/>
    <w:rsid w:val="00EE2154"/>
    <w:rsid w:val="00EE5388"/>
    <w:rsid w:val="00EF1433"/>
    <w:rsid w:val="00EF2BA8"/>
    <w:rsid w:val="00EF68E3"/>
    <w:rsid w:val="00F000C5"/>
    <w:rsid w:val="00F01F11"/>
    <w:rsid w:val="00F043C2"/>
    <w:rsid w:val="00F04531"/>
    <w:rsid w:val="00F04B42"/>
    <w:rsid w:val="00F122E3"/>
    <w:rsid w:val="00F130C7"/>
    <w:rsid w:val="00F131F9"/>
    <w:rsid w:val="00F14CFE"/>
    <w:rsid w:val="00F155CE"/>
    <w:rsid w:val="00F17F66"/>
    <w:rsid w:val="00F2383D"/>
    <w:rsid w:val="00F2474F"/>
    <w:rsid w:val="00F3219E"/>
    <w:rsid w:val="00F32252"/>
    <w:rsid w:val="00F33166"/>
    <w:rsid w:val="00F426BC"/>
    <w:rsid w:val="00F4543E"/>
    <w:rsid w:val="00F46A6D"/>
    <w:rsid w:val="00F540E4"/>
    <w:rsid w:val="00F54DA5"/>
    <w:rsid w:val="00F56652"/>
    <w:rsid w:val="00F56A0E"/>
    <w:rsid w:val="00F56FA1"/>
    <w:rsid w:val="00F627AA"/>
    <w:rsid w:val="00F65B22"/>
    <w:rsid w:val="00F708AD"/>
    <w:rsid w:val="00F71090"/>
    <w:rsid w:val="00F74C9B"/>
    <w:rsid w:val="00F76BCB"/>
    <w:rsid w:val="00F771B1"/>
    <w:rsid w:val="00F85332"/>
    <w:rsid w:val="00F85873"/>
    <w:rsid w:val="00FA3233"/>
    <w:rsid w:val="00FA3254"/>
    <w:rsid w:val="00FA4089"/>
    <w:rsid w:val="00FA54F7"/>
    <w:rsid w:val="00FB080A"/>
    <w:rsid w:val="00FB0A5E"/>
    <w:rsid w:val="00FC3CC2"/>
    <w:rsid w:val="00FC6113"/>
    <w:rsid w:val="00FC6AD6"/>
    <w:rsid w:val="00FE2300"/>
    <w:rsid w:val="00FE5EE0"/>
    <w:rsid w:val="00FF297F"/>
    <w:rsid w:val="00FF3F86"/>
    <w:rsid w:val="00FF5E5F"/>
    <w:rsid w:val="01172E6A"/>
    <w:rsid w:val="014F643B"/>
    <w:rsid w:val="01784FB0"/>
    <w:rsid w:val="019A0700"/>
    <w:rsid w:val="01D604ED"/>
    <w:rsid w:val="0260552C"/>
    <w:rsid w:val="03045076"/>
    <w:rsid w:val="030A1452"/>
    <w:rsid w:val="03556B98"/>
    <w:rsid w:val="0366713E"/>
    <w:rsid w:val="044E1AFB"/>
    <w:rsid w:val="04B76431"/>
    <w:rsid w:val="04BC63F7"/>
    <w:rsid w:val="05873FAF"/>
    <w:rsid w:val="06734338"/>
    <w:rsid w:val="06B66DC6"/>
    <w:rsid w:val="06BB3505"/>
    <w:rsid w:val="07171B3B"/>
    <w:rsid w:val="076A3FE2"/>
    <w:rsid w:val="07D01E21"/>
    <w:rsid w:val="08C63742"/>
    <w:rsid w:val="08D365A8"/>
    <w:rsid w:val="08F0457C"/>
    <w:rsid w:val="090D1F5C"/>
    <w:rsid w:val="09136255"/>
    <w:rsid w:val="093F7728"/>
    <w:rsid w:val="097100C8"/>
    <w:rsid w:val="09943D6A"/>
    <w:rsid w:val="09F241D9"/>
    <w:rsid w:val="0A310E76"/>
    <w:rsid w:val="0A79689E"/>
    <w:rsid w:val="0A871F6D"/>
    <w:rsid w:val="0A9975CC"/>
    <w:rsid w:val="0AB153C1"/>
    <w:rsid w:val="0AE30669"/>
    <w:rsid w:val="0C965033"/>
    <w:rsid w:val="0D2F173B"/>
    <w:rsid w:val="0D3D704C"/>
    <w:rsid w:val="0EFF697E"/>
    <w:rsid w:val="0F0939E6"/>
    <w:rsid w:val="0F0E6069"/>
    <w:rsid w:val="0F166C88"/>
    <w:rsid w:val="0F3C0971"/>
    <w:rsid w:val="0F650B5F"/>
    <w:rsid w:val="0F6628A9"/>
    <w:rsid w:val="0F734EEC"/>
    <w:rsid w:val="0F853B16"/>
    <w:rsid w:val="0FB95F0D"/>
    <w:rsid w:val="10045A57"/>
    <w:rsid w:val="101A3D37"/>
    <w:rsid w:val="10E2330D"/>
    <w:rsid w:val="11BA5FB8"/>
    <w:rsid w:val="11CE3919"/>
    <w:rsid w:val="12205E98"/>
    <w:rsid w:val="12EE5768"/>
    <w:rsid w:val="13873BF2"/>
    <w:rsid w:val="13A01332"/>
    <w:rsid w:val="13C87747"/>
    <w:rsid w:val="13D776FD"/>
    <w:rsid w:val="141E72FF"/>
    <w:rsid w:val="14302302"/>
    <w:rsid w:val="149E51F9"/>
    <w:rsid w:val="14A05D61"/>
    <w:rsid w:val="14A362EE"/>
    <w:rsid w:val="154A18BC"/>
    <w:rsid w:val="156A457F"/>
    <w:rsid w:val="15A16C54"/>
    <w:rsid w:val="15DC587B"/>
    <w:rsid w:val="15E1013C"/>
    <w:rsid w:val="160B00E6"/>
    <w:rsid w:val="164956A3"/>
    <w:rsid w:val="165A4CB9"/>
    <w:rsid w:val="166876A2"/>
    <w:rsid w:val="167635E0"/>
    <w:rsid w:val="16EA714A"/>
    <w:rsid w:val="17232AAB"/>
    <w:rsid w:val="173378DC"/>
    <w:rsid w:val="17365795"/>
    <w:rsid w:val="1742528A"/>
    <w:rsid w:val="17732F88"/>
    <w:rsid w:val="17FC5576"/>
    <w:rsid w:val="180F5091"/>
    <w:rsid w:val="184E74E9"/>
    <w:rsid w:val="18602A8A"/>
    <w:rsid w:val="186B1FDD"/>
    <w:rsid w:val="18A05F65"/>
    <w:rsid w:val="19840A5B"/>
    <w:rsid w:val="19EB75E1"/>
    <w:rsid w:val="1AA10D85"/>
    <w:rsid w:val="1ACA4EF2"/>
    <w:rsid w:val="1B6B20AF"/>
    <w:rsid w:val="1C2E6953"/>
    <w:rsid w:val="1C596905"/>
    <w:rsid w:val="1C7F1479"/>
    <w:rsid w:val="1C8C2DCB"/>
    <w:rsid w:val="1CA120BC"/>
    <w:rsid w:val="1D372648"/>
    <w:rsid w:val="1D3D5036"/>
    <w:rsid w:val="1D45664D"/>
    <w:rsid w:val="1D5265D5"/>
    <w:rsid w:val="1E0A62D5"/>
    <w:rsid w:val="1E3526BC"/>
    <w:rsid w:val="1EB72A48"/>
    <w:rsid w:val="1ECD3B1A"/>
    <w:rsid w:val="1F59508C"/>
    <w:rsid w:val="1FEA1274"/>
    <w:rsid w:val="1FFD44BC"/>
    <w:rsid w:val="20277A60"/>
    <w:rsid w:val="20704750"/>
    <w:rsid w:val="218A67E5"/>
    <w:rsid w:val="21B80200"/>
    <w:rsid w:val="21C14B84"/>
    <w:rsid w:val="21C347B6"/>
    <w:rsid w:val="22CF3FDE"/>
    <w:rsid w:val="230412BD"/>
    <w:rsid w:val="23167905"/>
    <w:rsid w:val="23227FCF"/>
    <w:rsid w:val="239D484A"/>
    <w:rsid w:val="23DB6A05"/>
    <w:rsid w:val="23E41863"/>
    <w:rsid w:val="24907BAD"/>
    <w:rsid w:val="24DA25E0"/>
    <w:rsid w:val="2523004C"/>
    <w:rsid w:val="25290F18"/>
    <w:rsid w:val="2545078A"/>
    <w:rsid w:val="256F1EC8"/>
    <w:rsid w:val="25DD4F6F"/>
    <w:rsid w:val="26373C39"/>
    <w:rsid w:val="264B0ED7"/>
    <w:rsid w:val="26AE5C66"/>
    <w:rsid w:val="26B5728F"/>
    <w:rsid w:val="275A66A0"/>
    <w:rsid w:val="278C584A"/>
    <w:rsid w:val="27A36E0E"/>
    <w:rsid w:val="27D31718"/>
    <w:rsid w:val="287A2C43"/>
    <w:rsid w:val="28BB0692"/>
    <w:rsid w:val="28EE1AC7"/>
    <w:rsid w:val="29150264"/>
    <w:rsid w:val="291C1010"/>
    <w:rsid w:val="29295FF4"/>
    <w:rsid w:val="2954642E"/>
    <w:rsid w:val="296F053F"/>
    <w:rsid w:val="29B94E4F"/>
    <w:rsid w:val="29CC011E"/>
    <w:rsid w:val="29D62F40"/>
    <w:rsid w:val="2A21420E"/>
    <w:rsid w:val="2A3D2C2B"/>
    <w:rsid w:val="2A79349D"/>
    <w:rsid w:val="2A84304B"/>
    <w:rsid w:val="2AAA4D1C"/>
    <w:rsid w:val="2AAC03DF"/>
    <w:rsid w:val="2AC4099B"/>
    <w:rsid w:val="2AD427C9"/>
    <w:rsid w:val="2AE56BC0"/>
    <w:rsid w:val="2B89459E"/>
    <w:rsid w:val="2BD3765C"/>
    <w:rsid w:val="2BD7728B"/>
    <w:rsid w:val="2BFD0D52"/>
    <w:rsid w:val="2C0C3A5B"/>
    <w:rsid w:val="2C271224"/>
    <w:rsid w:val="2C837763"/>
    <w:rsid w:val="2C941FEE"/>
    <w:rsid w:val="2D3945BE"/>
    <w:rsid w:val="2D8D3CB8"/>
    <w:rsid w:val="2DA4586E"/>
    <w:rsid w:val="2DEB303A"/>
    <w:rsid w:val="2E051E23"/>
    <w:rsid w:val="2EAA7C96"/>
    <w:rsid w:val="2EE12E56"/>
    <w:rsid w:val="2EF35BCE"/>
    <w:rsid w:val="2EF768E2"/>
    <w:rsid w:val="2F0A4D9B"/>
    <w:rsid w:val="2F2B28C5"/>
    <w:rsid w:val="2F67209F"/>
    <w:rsid w:val="2F973068"/>
    <w:rsid w:val="2FD3392E"/>
    <w:rsid w:val="31676021"/>
    <w:rsid w:val="31F90B26"/>
    <w:rsid w:val="32EC32D9"/>
    <w:rsid w:val="339F7C7C"/>
    <w:rsid w:val="33B71CA0"/>
    <w:rsid w:val="34304121"/>
    <w:rsid w:val="348C6A04"/>
    <w:rsid w:val="34EB7C97"/>
    <w:rsid w:val="355962AD"/>
    <w:rsid w:val="35BD3123"/>
    <w:rsid w:val="36116013"/>
    <w:rsid w:val="363E7AD1"/>
    <w:rsid w:val="366972BE"/>
    <w:rsid w:val="36944FC5"/>
    <w:rsid w:val="36C150AE"/>
    <w:rsid w:val="36E30D37"/>
    <w:rsid w:val="373D3D6A"/>
    <w:rsid w:val="378561CA"/>
    <w:rsid w:val="37CE18D5"/>
    <w:rsid w:val="381D3EC5"/>
    <w:rsid w:val="38502970"/>
    <w:rsid w:val="385B0533"/>
    <w:rsid w:val="386508EA"/>
    <w:rsid w:val="38726E15"/>
    <w:rsid w:val="38782895"/>
    <w:rsid w:val="393E4AF4"/>
    <w:rsid w:val="397D2827"/>
    <w:rsid w:val="39934ECB"/>
    <w:rsid w:val="3A3D1E57"/>
    <w:rsid w:val="3ACB6F0D"/>
    <w:rsid w:val="3AE01B75"/>
    <w:rsid w:val="3B3D0E34"/>
    <w:rsid w:val="3B8D66D2"/>
    <w:rsid w:val="3BCD161F"/>
    <w:rsid w:val="3BF93206"/>
    <w:rsid w:val="3C4A427D"/>
    <w:rsid w:val="3D5704C4"/>
    <w:rsid w:val="3D7C4CFB"/>
    <w:rsid w:val="3DA60B01"/>
    <w:rsid w:val="3DC03E8B"/>
    <w:rsid w:val="3DDA48F9"/>
    <w:rsid w:val="3E00268B"/>
    <w:rsid w:val="3E004B58"/>
    <w:rsid w:val="3E4960C4"/>
    <w:rsid w:val="3E874463"/>
    <w:rsid w:val="3EE23582"/>
    <w:rsid w:val="3F2A4F6E"/>
    <w:rsid w:val="3F457B13"/>
    <w:rsid w:val="3FAB05FA"/>
    <w:rsid w:val="402176DF"/>
    <w:rsid w:val="4027531D"/>
    <w:rsid w:val="40392176"/>
    <w:rsid w:val="40441986"/>
    <w:rsid w:val="40695E8A"/>
    <w:rsid w:val="40A21244"/>
    <w:rsid w:val="40DF05E8"/>
    <w:rsid w:val="41722CA2"/>
    <w:rsid w:val="425031F0"/>
    <w:rsid w:val="432504AB"/>
    <w:rsid w:val="43A91494"/>
    <w:rsid w:val="43E93DA7"/>
    <w:rsid w:val="4433555A"/>
    <w:rsid w:val="4438380D"/>
    <w:rsid w:val="4467501A"/>
    <w:rsid w:val="44853983"/>
    <w:rsid w:val="44D92D2E"/>
    <w:rsid w:val="450A17B2"/>
    <w:rsid w:val="459621DB"/>
    <w:rsid w:val="45DE1DFD"/>
    <w:rsid w:val="46893658"/>
    <w:rsid w:val="475A3F85"/>
    <w:rsid w:val="476E7158"/>
    <w:rsid w:val="478C7F96"/>
    <w:rsid w:val="4796793E"/>
    <w:rsid w:val="47A401C4"/>
    <w:rsid w:val="47BB2B59"/>
    <w:rsid w:val="484E6820"/>
    <w:rsid w:val="489A232D"/>
    <w:rsid w:val="48A6294E"/>
    <w:rsid w:val="48F13CB6"/>
    <w:rsid w:val="49B90090"/>
    <w:rsid w:val="4A242AD8"/>
    <w:rsid w:val="4A74143A"/>
    <w:rsid w:val="4B536F80"/>
    <w:rsid w:val="4BB949C8"/>
    <w:rsid w:val="4BD05436"/>
    <w:rsid w:val="4BD06BA5"/>
    <w:rsid w:val="4C1F0928"/>
    <w:rsid w:val="4C4A1E7B"/>
    <w:rsid w:val="4CB849F1"/>
    <w:rsid w:val="4CE94C15"/>
    <w:rsid w:val="4D146CBC"/>
    <w:rsid w:val="4D434A55"/>
    <w:rsid w:val="4D9737B5"/>
    <w:rsid w:val="4E327A58"/>
    <w:rsid w:val="4E896DCD"/>
    <w:rsid w:val="4FA67818"/>
    <w:rsid w:val="4FC556EB"/>
    <w:rsid w:val="50060E87"/>
    <w:rsid w:val="504534C0"/>
    <w:rsid w:val="506A2A19"/>
    <w:rsid w:val="50EB303A"/>
    <w:rsid w:val="511B7821"/>
    <w:rsid w:val="5171300C"/>
    <w:rsid w:val="51B401E7"/>
    <w:rsid w:val="52063668"/>
    <w:rsid w:val="522D586A"/>
    <w:rsid w:val="52391B8C"/>
    <w:rsid w:val="526D68D0"/>
    <w:rsid w:val="529E4E00"/>
    <w:rsid w:val="52A01FBE"/>
    <w:rsid w:val="52EE1B5E"/>
    <w:rsid w:val="531B4CB7"/>
    <w:rsid w:val="53A6500A"/>
    <w:rsid w:val="53CF3A8F"/>
    <w:rsid w:val="541B335F"/>
    <w:rsid w:val="545122BD"/>
    <w:rsid w:val="54970927"/>
    <w:rsid w:val="54C31F48"/>
    <w:rsid w:val="54C8253C"/>
    <w:rsid w:val="552D0E35"/>
    <w:rsid w:val="554855D3"/>
    <w:rsid w:val="55907E83"/>
    <w:rsid w:val="55A40312"/>
    <w:rsid w:val="55E02539"/>
    <w:rsid w:val="55F81260"/>
    <w:rsid w:val="56C07495"/>
    <w:rsid w:val="57435475"/>
    <w:rsid w:val="57520C5A"/>
    <w:rsid w:val="579F5152"/>
    <w:rsid w:val="57A603F4"/>
    <w:rsid w:val="57CF3F8D"/>
    <w:rsid w:val="57DC6BC4"/>
    <w:rsid w:val="57EE391B"/>
    <w:rsid w:val="589F492D"/>
    <w:rsid w:val="58CD44CC"/>
    <w:rsid w:val="59457D27"/>
    <w:rsid w:val="594A6A6D"/>
    <w:rsid w:val="5987632F"/>
    <w:rsid w:val="598A2EE8"/>
    <w:rsid w:val="59D4419D"/>
    <w:rsid w:val="59DB51F9"/>
    <w:rsid w:val="5A5D1E66"/>
    <w:rsid w:val="5A8A43EE"/>
    <w:rsid w:val="5AAC5161"/>
    <w:rsid w:val="5B1C6630"/>
    <w:rsid w:val="5B450037"/>
    <w:rsid w:val="5B493AEA"/>
    <w:rsid w:val="5B877908"/>
    <w:rsid w:val="5BA2113B"/>
    <w:rsid w:val="5D4A11B2"/>
    <w:rsid w:val="5DE70034"/>
    <w:rsid w:val="5E122AA4"/>
    <w:rsid w:val="5E8F6E35"/>
    <w:rsid w:val="5ED10550"/>
    <w:rsid w:val="5EFA75AA"/>
    <w:rsid w:val="5F1A36B6"/>
    <w:rsid w:val="60563A81"/>
    <w:rsid w:val="60A34A21"/>
    <w:rsid w:val="60C41051"/>
    <w:rsid w:val="61085CAE"/>
    <w:rsid w:val="613D6C5E"/>
    <w:rsid w:val="614B6D4A"/>
    <w:rsid w:val="61606269"/>
    <w:rsid w:val="618F7CC1"/>
    <w:rsid w:val="619E74A0"/>
    <w:rsid w:val="61C51F16"/>
    <w:rsid w:val="61D067E7"/>
    <w:rsid w:val="61D1450D"/>
    <w:rsid w:val="63194464"/>
    <w:rsid w:val="63345B38"/>
    <w:rsid w:val="633B6E37"/>
    <w:rsid w:val="635A103C"/>
    <w:rsid w:val="636728EA"/>
    <w:rsid w:val="639F25DC"/>
    <w:rsid w:val="63BD0503"/>
    <w:rsid w:val="64041BC5"/>
    <w:rsid w:val="641A6767"/>
    <w:rsid w:val="643933DE"/>
    <w:rsid w:val="647A6F01"/>
    <w:rsid w:val="648E18CA"/>
    <w:rsid w:val="64A42060"/>
    <w:rsid w:val="64EB484B"/>
    <w:rsid w:val="65777818"/>
    <w:rsid w:val="65D214BA"/>
    <w:rsid w:val="66033EBC"/>
    <w:rsid w:val="668A1776"/>
    <w:rsid w:val="66AB4576"/>
    <w:rsid w:val="66D35C68"/>
    <w:rsid w:val="66D93AB0"/>
    <w:rsid w:val="66F30B21"/>
    <w:rsid w:val="677E3965"/>
    <w:rsid w:val="67871BB3"/>
    <w:rsid w:val="67F6722B"/>
    <w:rsid w:val="685B11D5"/>
    <w:rsid w:val="68813E9C"/>
    <w:rsid w:val="688F5B3F"/>
    <w:rsid w:val="68BF4ADA"/>
    <w:rsid w:val="68DC7970"/>
    <w:rsid w:val="69E030FB"/>
    <w:rsid w:val="6A261F0A"/>
    <w:rsid w:val="6A662195"/>
    <w:rsid w:val="6BA84291"/>
    <w:rsid w:val="6BA85800"/>
    <w:rsid w:val="6BBB25C5"/>
    <w:rsid w:val="6BCC7DF8"/>
    <w:rsid w:val="6BDC2710"/>
    <w:rsid w:val="6BE148F6"/>
    <w:rsid w:val="6BFF7C9D"/>
    <w:rsid w:val="6C5134B2"/>
    <w:rsid w:val="6CFA603A"/>
    <w:rsid w:val="6CFF67A8"/>
    <w:rsid w:val="6D3F324A"/>
    <w:rsid w:val="6D835470"/>
    <w:rsid w:val="6D9D32F8"/>
    <w:rsid w:val="6E035842"/>
    <w:rsid w:val="6E84719B"/>
    <w:rsid w:val="6FB56F1D"/>
    <w:rsid w:val="6FE43BA2"/>
    <w:rsid w:val="7012401B"/>
    <w:rsid w:val="70456350"/>
    <w:rsid w:val="70DF502F"/>
    <w:rsid w:val="710B7FE3"/>
    <w:rsid w:val="716A11FC"/>
    <w:rsid w:val="716A33BC"/>
    <w:rsid w:val="71735785"/>
    <w:rsid w:val="71CE071D"/>
    <w:rsid w:val="727D042D"/>
    <w:rsid w:val="727E416A"/>
    <w:rsid w:val="73087373"/>
    <w:rsid w:val="73905781"/>
    <w:rsid w:val="74153052"/>
    <w:rsid w:val="74206E3A"/>
    <w:rsid w:val="74D803CB"/>
    <w:rsid w:val="754213E6"/>
    <w:rsid w:val="75CE4635"/>
    <w:rsid w:val="763A54AD"/>
    <w:rsid w:val="764D1FA1"/>
    <w:rsid w:val="76D15C91"/>
    <w:rsid w:val="76DF1A40"/>
    <w:rsid w:val="775674FE"/>
    <w:rsid w:val="779A7649"/>
    <w:rsid w:val="78342345"/>
    <w:rsid w:val="78B22B40"/>
    <w:rsid w:val="78E021BA"/>
    <w:rsid w:val="78E549CF"/>
    <w:rsid w:val="78F002CF"/>
    <w:rsid w:val="79A9795A"/>
    <w:rsid w:val="7B573D39"/>
    <w:rsid w:val="7B721FF2"/>
    <w:rsid w:val="7B9E310E"/>
    <w:rsid w:val="7BB972B7"/>
    <w:rsid w:val="7C9D7A19"/>
    <w:rsid w:val="7CEE66A0"/>
    <w:rsid w:val="7D2A57BC"/>
    <w:rsid w:val="7D453FF0"/>
    <w:rsid w:val="7DBD422C"/>
    <w:rsid w:val="7DCD7452"/>
    <w:rsid w:val="7E160C84"/>
    <w:rsid w:val="7E48689A"/>
    <w:rsid w:val="7E7A530A"/>
    <w:rsid w:val="7F182B34"/>
    <w:rsid w:val="7FA47567"/>
    <w:rsid w:val="7FA55356"/>
    <w:rsid w:val="7FBC5CC4"/>
    <w:rsid w:val="7FCA7A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0"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4">
    <w:name w:val="heading 1"/>
    <w:basedOn w:val="1"/>
    <w:next w:val="5"/>
    <w:link w:val="42"/>
    <w:qFormat/>
    <w:uiPriority w:val="0"/>
    <w:pPr>
      <w:keepNext/>
      <w:keepLines/>
      <w:spacing w:beforeLines="50" w:afterLines="50" w:line="360" w:lineRule="auto"/>
      <w:jc w:val="left"/>
      <w:outlineLvl w:val="0"/>
    </w:pPr>
    <w:rPr>
      <w:rFonts w:ascii="新宋体" w:hAnsi="新宋体" w:eastAsia="新宋体" w:cs="Times New Roman"/>
      <w:b/>
      <w:bCs/>
      <w:color w:val="C00000"/>
      <w:kern w:val="44"/>
      <w:sz w:val="32"/>
      <w:szCs w:val="32"/>
    </w:rPr>
  </w:style>
  <w:style w:type="paragraph" w:styleId="6">
    <w:name w:val="heading 2"/>
    <w:basedOn w:val="1"/>
    <w:next w:val="5"/>
    <w:link w:val="43"/>
    <w:autoRedefine/>
    <w:qFormat/>
    <w:uiPriority w:val="0"/>
    <w:pPr>
      <w:keepNext/>
      <w:keepLines/>
      <w:spacing w:beforeLines="50" w:line="360" w:lineRule="auto"/>
      <w:outlineLvl w:val="1"/>
    </w:pPr>
    <w:rPr>
      <w:rFonts w:ascii="新宋体" w:hAnsi="新宋体" w:eastAsia="新宋体" w:cs="Times New Roman"/>
      <w:b/>
      <w:bCs/>
      <w:sz w:val="28"/>
      <w:szCs w:val="30"/>
    </w:rPr>
  </w:style>
  <w:style w:type="paragraph" w:styleId="7">
    <w:name w:val="heading 3"/>
    <w:basedOn w:val="1"/>
    <w:next w:val="1"/>
    <w:link w:val="48"/>
    <w:autoRedefine/>
    <w:qFormat/>
    <w:uiPriority w:val="0"/>
    <w:pPr>
      <w:keepNext/>
      <w:keepLines/>
      <w:spacing w:beforeLines="50" w:line="360" w:lineRule="auto"/>
      <w:outlineLvl w:val="2"/>
    </w:pPr>
    <w:rPr>
      <w:rFonts w:ascii="新宋体" w:hAnsi="新宋体" w:eastAsia="新宋体" w:cs="Times New Roman"/>
      <w:b/>
      <w:bCs/>
      <w:color w:val="FF0000"/>
      <w:kern w:val="0"/>
      <w:sz w:val="24"/>
      <w:szCs w:val="28"/>
    </w:rPr>
  </w:style>
  <w:style w:type="paragraph" w:styleId="8">
    <w:name w:val="heading 4"/>
    <w:basedOn w:val="1"/>
    <w:next w:val="5"/>
    <w:link w:val="51"/>
    <w:qFormat/>
    <w:uiPriority w:val="0"/>
    <w:pPr>
      <w:keepNext/>
      <w:keepLines/>
      <w:spacing w:beforeLines="50" w:line="360" w:lineRule="auto"/>
      <w:outlineLvl w:val="3"/>
    </w:pPr>
    <w:rPr>
      <w:rFonts w:ascii="新宋体" w:hAnsi="新宋体" w:eastAsia="新宋体" w:cs="Times New Roman"/>
      <w:b/>
      <w:bCs/>
      <w:color w:val="00B050"/>
      <w:sz w:val="24"/>
      <w:szCs w:val="28"/>
    </w:rPr>
  </w:style>
  <w:style w:type="paragraph" w:styleId="9">
    <w:name w:val="heading 5"/>
    <w:basedOn w:val="1"/>
    <w:next w:val="5"/>
    <w:link w:val="52"/>
    <w:autoRedefine/>
    <w:unhideWhenUsed/>
    <w:qFormat/>
    <w:uiPriority w:val="0"/>
    <w:pPr>
      <w:keepNext/>
      <w:keepLines/>
      <w:spacing w:beforeLines="50" w:afterLines="50"/>
      <w:outlineLvl w:val="4"/>
    </w:pPr>
    <w:rPr>
      <w:rFonts w:ascii="新宋体" w:hAnsi="新宋体" w:eastAsia="新宋体" w:cs="Times New Roman"/>
      <w:b/>
      <w:bCs/>
      <w:color w:val="0070C0"/>
      <w:sz w:val="24"/>
      <w:szCs w:val="28"/>
    </w:rPr>
  </w:style>
  <w:style w:type="character" w:default="1" w:styleId="33">
    <w:name w:val="Default Paragraph Font"/>
    <w:semiHidden/>
    <w:unhideWhenUsed/>
    <w:qFormat/>
    <w:uiPriority w:val="1"/>
  </w:style>
  <w:style w:type="table" w:default="1" w:styleId="31">
    <w:name w:val="Normal Table"/>
    <w:autoRedefine/>
    <w:semiHidden/>
    <w:unhideWhenUsed/>
    <w:qFormat/>
    <w:uiPriority w:val="99"/>
    <w:tblPr>
      <w:tblCellMar>
        <w:top w:w="0" w:type="dxa"/>
        <w:left w:w="108" w:type="dxa"/>
        <w:bottom w:w="0" w:type="dxa"/>
        <w:right w:w="108" w:type="dxa"/>
      </w:tblCellMar>
    </w:tblPr>
  </w:style>
  <w:style w:type="paragraph" w:styleId="2">
    <w:name w:val="Body Text First Indent 2"/>
    <w:basedOn w:val="3"/>
    <w:autoRedefine/>
    <w:qFormat/>
    <w:uiPriority w:val="0"/>
    <w:pPr>
      <w:ind w:firstLine="420"/>
    </w:pPr>
  </w:style>
  <w:style w:type="paragraph" w:styleId="3">
    <w:name w:val="Body Text Indent"/>
    <w:basedOn w:val="1"/>
    <w:link w:val="47"/>
    <w:autoRedefine/>
    <w:unhideWhenUsed/>
    <w:qFormat/>
    <w:uiPriority w:val="0"/>
    <w:pPr>
      <w:spacing w:after="120"/>
      <w:ind w:left="420" w:leftChars="200"/>
    </w:pPr>
  </w:style>
  <w:style w:type="paragraph" w:styleId="5">
    <w:name w:val="Normal Indent"/>
    <w:basedOn w:val="1"/>
    <w:link w:val="69"/>
    <w:unhideWhenUsed/>
    <w:qFormat/>
    <w:uiPriority w:val="0"/>
    <w:pPr>
      <w:ind w:firstLine="420" w:firstLineChars="200"/>
    </w:pPr>
  </w:style>
  <w:style w:type="paragraph" w:styleId="10">
    <w:name w:val="toc 7"/>
    <w:basedOn w:val="1"/>
    <w:next w:val="1"/>
    <w:autoRedefine/>
    <w:unhideWhenUsed/>
    <w:qFormat/>
    <w:uiPriority w:val="39"/>
    <w:pPr>
      <w:ind w:left="1260"/>
      <w:jc w:val="left"/>
    </w:pPr>
    <w:rPr>
      <w:rFonts w:cstheme="minorHAnsi"/>
      <w:sz w:val="20"/>
      <w:szCs w:val="20"/>
    </w:rPr>
  </w:style>
  <w:style w:type="paragraph" w:styleId="11">
    <w:name w:val="caption"/>
    <w:basedOn w:val="1"/>
    <w:next w:val="1"/>
    <w:autoRedefine/>
    <w:qFormat/>
    <w:uiPriority w:val="0"/>
    <w:pPr>
      <w:spacing w:before="152" w:after="160" w:line="360" w:lineRule="auto"/>
    </w:pPr>
    <w:rPr>
      <w:rFonts w:ascii="Arial" w:hAnsi="Arial" w:eastAsia="黑体" w:cs="Arial"/>
      <w:sz w:val="20"/>
      <w:szCs w:val="20"/>
    </w:rPr>
  </w:style>
  <w:style w:type="paragraph" w:styleId="12">
    <w:name w:val="Document Map"/>
    <w:basedOn w:val="1"/>
    <w:link w:val="40"/>
    <w:autoRedefine/>
    <w:semiHidden/>
    <w:unhideWhenUsed/>
    <w:qFormat/>
    <w:uiPriority w:val="99"/>
    <w:rPr>
      <w:rFonts w:ascii="宋体" w:eastAsia="宋体"/>
      <w:sz w:val="18"/>
      <w:szCs w:val="18"/>
    </w:rPr>
  </w:style>
  <w:style w:type="paragraph" w:styleId="13">
    <w:name w:val="Body Text"/>
    <w:basedOn w:val="1"/>
    <w:link w:val="45"/>
    <w:autoRedefine/>
    <w:semiHidden/>
    <w:unhideWhenUsed/>
    <w:qFormat/>
    <w:uiPriority w:val="99"/>
    <w:pPr>
      <w:spacing w:after="120"/>
    </w:pPr>
  </w:style>
  <w:style w:type="paragraph" w:styleId="14">
    <w:name w:val="toc 5"/>
    <w:basedOn w:val="1"/>
    <w:next w:val="1"/>
    <w:autoRedefine/>
    <w:unhideWhenUsed/>
    <w:qFormat/>
    <w:uiPriority w:val="39"/>
    <w:pPr>
      <w:ind w:left="840"/>
      <w:jc w:val="left"/>
    </w:pPr>
    <w:rPr>
      <w:rFonts w:cstheme="minorHAnsi"/>
      <w:sz w:val="20"/>
      <w:szCs w:val="20"/>
    </w:rPr>
  </w:style>
  <w:style w:type="paragraph" w:styleId="15">
    <w:name w:val="toc 3"/>
    <w:basedOn w:val="1"/>
    <w:next w:val="1"/>
    <w:autoRedefine/>
    <w:unhideWhenUsed/>
    <w:qFormat/>
    <w:uiPriority w:val="39"/>
    <w:pPr>
      <w:ind w:left="420"/>
      <w:jc w:val="left"/>
    </w:pPr>
    <w:rPr>
      <w:rFonts w:cstheme="minorHAnsi"/>
      <w:sz w:val="20"/>
      <w:szCs w:val="20"/>
    </w:rPr>
  </w:style>
  <w:style w:type="paragraph" w:styleId="16">
    <w:name w:val="Plain Text"/>
    <w:basedOn w:val="1"/>
    <w:link w:val="59"/>
    <w:autoRedefine/>
    <w:qFormat/>
    <w:uiPriority w:val="0"/>
    <w:rPr>
      <w:rFonts w:ascii="宋体" w:hAnsi="Courier New" w:eastAsia="宋体" w:cs="Wingdings"/>
      <w:szCs w:val="21"/>
    </w:rPr>
  </w:style>
  <w:style w:type="paragraph" w:styleId="17">
    <w:name w:val="toc 8"/>
    <w:basedOn w:val="1"/>
    <w:next w:val="1"/>
    <w:autoRedefine/>
    <w:unhideWhenUsed/>
    <w:qFormat/>
    <w:uiPriority w:val="39"/>
    <w:pPr>
      <w:ind w:left="1470"/>
      <w:jc w:val="left"/>
    </w:pPr>
    <w:rPr>
      <w:rFonts w:cstheme="minorHAnsi"/>
      <w:sz w:val="20"/>
      <w:szCs w:val="20"/>
    </w:rPr>
  </w:style>
  <w:style w:type="paragraph" w:styleId="18">
    <w:name w:val="Date"/>
    <w:basedOn w:val="1"/>
    <w:next w:val="1"/>
    <w:link w:val="78"/>
    <w:autoRedefine/>
    <w:semiHidden/>
    <w:unhideWhenUsed/>
    <w:qFormat/>
    <w:uiPriority w:val="99"/>
    <w:pPr>
      <w:ind w:left="100" w:leftChars="2500"/>
    </w:pPr>
  </w:style>
  <w:style w:type="paragraph" w:styleId="19">
    <w:name w:val="Body Text Indent 2"/>
    <w:basedOn w:val="1"/>
    <w:link w:val="81"/>
    <w:autoRedefine/>
    <w:semiHidden/>
    <w:unhideWhenUsed/>
    <w:qFormat/>
    <w:uiPriority w:val="99"/>
    <w:pPr>
      <w:spacing w:after="120" w:line="480" w:lineRule="auto"/>
      <w:ind w:left="420" w:leftChars="200"/>
    </w:pPr>
  </w:style>
  <w:style w:type="paragraph" w:styleId="20">
    <w:name w:val="Balloon Text"/>
    <w:basedOn w:val="1"/>
    <w:link w:val="41"/>
    <w:autoRedefine/>
    <w:unhideWhenUsed/>
    <w:qFormat/>
    <w:uiPriority w:val="0"/>
    <w:rPr>
      <w:sz w:val="18"/>
      <w:szCs w:val="18"/>
    </w:rPr>
  </w:style>
  <w:style w:type="paragraph" w:styleId="21">
    <w:name w:val="footer"/>
    <w:basedOn w:val="1"/>
    <w:link w:val="38"/>
    <w:autoRedefine/>
    <w:unhideWhenUsed/>
    <w:qFormat/>
    <w:uiPriority w:val="99"/>
    <w:pPr>
      <w:pBdr>
        <w:top w:val="double" w:color="auto" w:sz="4" w:space="1"/>
      </w:pBdr>
      <w:tabs>
        <w:tab w:val="center" w:pos="4153"/>
        <w:tab w:val="right" w:pos="8306"/>
      </w:tabs>
      <w:snapToGrid w:val="0"/>
      <w:jc w:val="left"/>
    </w:pPr>
    <w:rPr>
      <w:sz w:val="18"/>
      <w:szCs w:val="18"/>
    </w:rPr>
  </w:style>
  <w:style w:type="paragraph" w:styleId="22">
    <w:name w:val="header"/>
    <w:basedOn w:val="1"/>
    <w:link w:val="37"/>
    <w:autoRedefine/>
    <w:unhideWhenUsed/>
    <w:qFormat/>
    <w:uiPriority w:val="99"/>
    <w:pPr>
      <w:pBdr>
        <w:bottom w:val="double" w:color="auto" w:sz="4" w:space="1"/>
      </w:pBdr>
      <w:tabs>
        <w:tab w:val="center" w:pos="4153"/>
        <w:tab w:val="right" w:pos="8306"/>
      </w:tabs>
      <w:snapToGrid w:val="0"/>
      <w:jc w:val="center"/>
    </w:pPr>
    <w:rPr>
      <w:sz w:val="18"/>
      <w:szCs w:val="18"/>
    </w:rPr>
  </w:style>
  <w:style w:type="paragraph" w:styleId="23">
    <w:name w:val="toc 1"/>
    <w:basedOn w:val="1"/>
    <w:next w:val="1"/>
    <w:autoRedefine/>
    <w:unhideWhenUsed/>
    <w:qFormat/>
    <w:uiPriority w:val="39"/>
    <w:pPr>
      <w:spacing w:before="120"/>
      <w:jc w:val="left"/>
    </w:pPr>
    <w:rPr>
      <w:rFonts w:cstheme="minorHAnsi"/>
      <w:b/>
      <w:bCs/>
      <w:i/>
      <w:iCs/>
      <w:sz w:val="24"/>
      <w:szCs w:val="24"/>
    </w:rPr>
  </w:style>
  <w:style w:type="paragraph" w:styleId="24">
    <w:name w:val="toc 4"/>
    <w:basedOn w:val="1"/>
    <w:next w:val="1"/>
    <w:autoRedefine/>
    <w:unhideWhenUsed/>
    <w:qFormat/>
    <w:uiPriority w:val="39"/>
    <w:pPr>
      <w:ind w:left="630"/>
      <w:jc w:val="left"/>
    </w:pPr>
    <w:rPr>
      <w:rFonts w:cstheme="minorHAnsi"/>
      <w:sz w:val="20"/>
      <w:szCs w:val="20"/>
    </w:rPr>
  </w:style>
  <w:style w:type="paragraph" w:styleId="25">
    <w:name w:val="toc 6"/>
    <w:basedOn w:val="1"/>
    <w:next w:val="1"/>
    <w:autoRedefine/>
    <w:unhideWhenUsed/>
    <w:qFormat/>
    <w:uiPriority w:val="39"/>
    <w:pPr>
      <w:ind w:left="1050"/>
      <w:jc w:val="left"/>
    </w:pPr>
    <w:rPr>
      <w:rFonts w:cstheme="minorHAnsi"/>
      <w:sz w:val="20"/>
      <w:szCs w:val="20"/>
    </w:rPr>
  </w:style>
  <w:style w:type="paragraph" w:styleId="26">
    <w:name w:val="toc 2"/>
    <w:basedOn w:val="1"/>
    <w:next w:val="1"/>
    <w:autoRedefine/>
    <w:unhideWhenUsed/>
    <w:qFormat/>
    <w:uiPriority w:val="39"/>
    <w:pPr>
      <w:spacing w:before="120"/>
      <w:ind w:left="210"/>
      <w:jc w:val="left"/>
    </w:pPr>
    <w:rPr>
      <w:rFonts w:cstheme="minorHAnsi"/>
      <w:b/>
      <w:bCs/>
      <w:sz w:val="22"/>
    </w:rPr>
  </w:style>
  <w:style w:type="paragraph" w:styleId="27">
    <w:name w:val="toc 9"/>
    <w:basedOn w:val="1"/>
    <w:next w:val="1"/>
    <w:autoRedefine/>
    <w:unhideWhenUsed/>
    <w:qFormat/>
    <w:uiPriority w:val="39"/>
    <w:pPr>
      <w:ind w:left="1680"/>
      <w:jc w:val="left"/>
    </w:pPr>
    <w:rPr>
      <w:rFonts w:cstheme="minorHAnsi"/>
      <w:sz w:val="20"/>
      <w:szCs w:val="20"/>
    </w:rPr>
  </w:style>
  <w:style w:type="paragraph" w:styleId="28">
    <w:name w:val="Normal (Web)"/>
    <w:basedOn w:val="1"/>
    <w:autoRedefine/>
    <w:qFormat/>
    <w:uiPriority w:val="99"/>
    <w:pPr>
      <w:widowControl/>
      <w:spacing w:before="100" w:beforeAutospacing="1" w:after="100" w:afterAutospacing="1" w:line="330" w:lineRule="atLeast"/>
      <w:jc w:val="left"/>
    </w:pPr>
    <w:rPr>
      <w:rFonts w:ascii="宋体" w:hAnsi="宋体" w:eastAsia="宋体" w:cs="宋体"/>
      <w:kern w:val="0"/>
      <w:sz w:val="22"/>
    </w:rPr>
  </w:style>
  <w:style w:type="paragraph" w:styleId="29">
    <w:name w:val="Title"/>
    <w:basedOn w:val="1"/>
    <w:next w:val="1"/>
    <w:link w:val="39"/>
    <w:autoRedefine/>
    <w:qFormat/>
    <w:uiPriority w:val="0"/>
    <w:pPr>
      <w:spacing w:line="360" w:lineRule="auto"/>
      <w:jc w:val="center"/>
      <w:outlineLvl w:val="0"/>
    </w:pPr>
    <w:rPr>
      <w:rFonts w:ascii="Arial" w:hAnsi="Arial" w:eastAsia="宋体" w:cs="Arial"/>
      <w:b/>
      <w:bCs/>
      <w:color w:val="000000"/>
      <w:sz w:val="48"/>
      <w:szCs w:val="32"/>
    </w:rPr>
  </w:style>
  <w:style w:type="paragraph" w:styleId="30">
    <w:name w:val="Body Text First Indent"/>
    <w:basedOn w:val="13"/>
    <w:link w:val="46"/>
    <w:autoRedefine/>
    <w:qFormat/>
    <w:uiPriority w:val="0"/>
    <w:pPr>
      <w:ind w:firstLine="420" w:firstLineChars="100"/>
    </w:pPr>
    <w:rPr>
      <w:rFonts w:ascii="Times New Roman" w:hAnsi="Times New Roman" w:eastAsia="宋体" w:cs="Times New Roman"/>
      <w:szCs w:val="24"/>
    </w:rPr>
  </w:style>
  <w:style w:type="table" w:styleId="32">
    <w:name w:val="Table Grid"/>
    <w:basedOn w:val="31"/>
    <w:autoRedefine/>
    <w:qFormat/>
    <w:uiPriority w:val="0"/>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34">
    <w:name w:val="Strong"/>
    <w:autoRedefine/>
    <w:qFormat/>
    <w:uiPriority w:val="22"/>
    <w:rPr>
      <w:b/>
      <w:sz w:val="21"/>
      <w:szCs w:val="21"/>
    </w:rPr>
  </w:style>
  <w:style w:type="character" w:styleId="35">
    <w:name w:val="page number"/>
    <w:basedOn w:val="33"/>
    <w:autoRedefine/>
    <w:qFormat/>
    <w:uiPriority w:val="0"/>
  </w:style>
  <w:style w:type="character" w:styleId="36">
    <w:name w:val="Hyperlink"/>
    <w:basedOn w:val="33"/>
    <w:autoRedefine/>
    <w:unhideWhenUsed/>
    <w:qFormat/>
    <w:uiPriority w:val="99"/>
    <w:rPr>
      <w:color w:val="0000FF" w:themeColor="hyperlink"/>
      <w:u w:val="single"/>
      <w14:textFill>
        <w14:solidFill>
          <w14:schemeClr w14:val="hlink"/>
        </w14:solidFill>
      </w14:textFill>
    </w:rPr>
  </w:style>
  <w:style w:type="character" w:customStyle="1" w:styleId="37">
    <w:name w:val="页眉 Char"/>
    <w:basedOn w:val="33"/>
    <w:link w:val="22"/>
    <w:autoRedefine/>
    <w:qFormat/>
    <w:uiPriority w:val="99"/>
    <w:rPr>
      <w:sz w:val="18"/>
      <w:szCs w:val="18"/>
    </w:rPr>
  </w:style>
  <w:style w:type="character" w:customStyle="1" w:styleId="38">
    <w:name w:val="页脚 Char"/>
    <w:basedOn w:val="33"/>
    <w:link w:val="21"/>
    <w:autoRedefine/>
    <w:qFormat/>
    <w:uiPriority w:val="99"/>
    <w:rPr>
      <w:sz w:val="18"/>
      <w:szCs w:val="18"/>
    </w:rPr>
  </w:style>
  <w:style w:type="character" w:customStyle="1" w:styleId="39">
    <w:name w:val="标题 Char"/>
    <w:basedOn w:val="33"/>
    <w:link w:val="29"/>
    <w:autoRedefine/>
    <w:qFormat/>
    <w:uiPriority w:val="0"/>
    <w:rPr>
      <w:rFonts w:ascii="Arial" w:hAnsi="Arial" w:eastAsia="宋体" w:cs="Arial"/>
      <w:b/>
      <w:bCs/>
      <w:color w:val="000000"/>
      <w:sz w:val="48"/>
      <w:szCs w:val="32"/>
    </w:rPr>
  </w:style>
  <w:style w:type="character" w:customStyle="1" w:styleId="40">
    <w:name w:val="文档结构图 Char"/>
    <w:basedOn w:val="33"/>
    <w:link w:val="12"/>
    <w:autoRedefine/>
    <w:semiHidden/>
    <w:qFormat/>
    <w:uiPriority w:val="99"/>
    <w:rPr>
      <w:rFonts w:ascii="宋体" w:eastAsia="宋体"/>
      <w:sz w:val="18"/>
      <w:szCs w:val="18"/>
    </w:rPr>
  </w:style>
  <w:style w:type="character" w:customStyle="1" w:styleId="41">
    <w:name w:val="批注框文本 Char"/>
    <w:basedOn w:val="33"/>
    <w:link w:val="20"/>
    <w:autoRedefine/>
    <w:qFormat/>
    <w:uiPriority w:val="0"/>
    <w:rPr>
      <w:sz w:val="18"/>
      <w:szCs w:val="18"/>
    </w:rPr>
  </w:style>
  <w:style w:type="character" w:customStyle="1" w:styleId="42">
    <w:name w:val="标题 1 Char"/>
    <w:basedOn w:val="33"/>
    <w:link w:val="4"/>
    <w:autoRedefine/>
    <w:qFormat/>
    <w:uiPriority w:val="0"/>
    <w:rPr>
      <w:rFonts w:ascii="新宋体" w:hAnsi="新宋体" w:eastAsia="新宋体" w:cs="Times New Roman"/>
      <w:b/>
      <w:bCs/>
      <w:color w:val="C00000"/>
      <w:kern w:val="44"/>
      <w:sz w:val="32"/>
      <w:szCs w:val="32"/>
    </w:rPr>
  </w:style>
  <w:style w:type="character" w:customStyle="1" w:styleId="43">
    <w:name w:val="标题 2 Char"/>
    <w:basedOn w:val="33"/>
    <w:link w:val="6"/>
    <w:autoRedefine/>
    <w:qFormat/>
    <w:uiPriority w:val="0"/>
    <w:rPr>
      <w:rFonts w:ascii="新宋体" w:hAnsi="新宋体" w:eastAsia="新宋体" w:cs="Times New Roman"/>
      <w:b/>
      <w:bCs/>
      <w:sz w:val="28"/>
      <w:szCs w:val="30"/>
    </w:rPr>
  </w:style>
  <w:style w:type="character" w:customStyle="1" w:styleId="44">
    <w:name w:val="正文首行缩进 Char"/>
    <w:autoRedefine/>
    <w:qFormat/>
    <w:uiPriority w:val="0"/>
    <w:rPr>
      <w:rFonts w:ascii="Times New Roman" w:hAnsi="Times New Roman" w:eastAsia="宋体" w:cs="Times New Roman"/>
      <w:szCs w:val="24"/>
    </w:rPr>
  </w:style>
  <w:style w:type="character" w:customStyle="1" w:styleId="45">
    <w:name w:val="正文文本 Char"/>
    <w:basedOn w:val="33"/>
    <w:link w:val="13"/>
    <w:autoRedefine/>
    <w:semiHidden/>
    <w:qFormat/>
    <w:uiPriority w:val="99"/>
  </w:style>
  <w:style w:type="character" w:customStyle="1" w:styleId="46">
    <w:name w:val="正文首行缩进 Char1"/>
    <w:basedOn w:val="45"/>
    <w:link w:val="30"/>
    <w:autoRedefine/>
    <w:semiHidden/>
    <w:qFormat/>
    <w:uiPriority w:val="99"/>
  </w:style>
  <w:style w:type="character" w:customStyle="1" w:styleId="47">
    <w:name w:val="正文文本缩进 Char"/>
    <w:basedOn w:val="33"/>
    <w:link w:val="3"/>
    <w:autoRedefine/>
    <w:qFormat/>
    <w:uiPriority w:val="0"/>
  </w:style>
  <w:style w:type="character" w:customStyle="1" w:styleId="48">
    <w:name w:val="标题 3 Char"/>
    <w:basedOn w:val="33"/>
    <w:link w:val="7"/>
    <w:autoRedefine/>
    <w:qFormat/>
    <w:uiPriority w:val="0"/>
    <w:rPr>
      <w:rFonts w:ascii="新宋体" w:hAnsi="新宋体" w:eastAsia="新宋体" w:cs="Times New Roman"/>
      <w:b/>
      <w:bCs/>
      <w:color w:val="FF0000"/>
      <w:kern w:val="0"/>
      <w:sz w:val="24"/>
      <w:szCs w:val="28"/>
    </w:rPr>
  </w:style>
  <w:style w:type="character" w:customStyle="1" w:styleId="49">
    <w:name w:val="正文（首行缩进两字） Char Char"/>
    <w:basedOn w:val="33"/>
    <w:autoRedefine/>
    <w:qFormat/>
    <w:uiPriority w:val="0"/>
    <w:rPr>
      <w:rFonts w:eastAsia="宋体"/>
      <w:kern w:val="2"/>
      <w:sz w:val="28"/>
      <w:szCs w:val="24"/>
      <w:lang w:val="en-US" w:eastAsia="zh-CN" w:bidi="ar-SA"/>
    </w:rPr>
  </w:style>
  <w:style w:type="paragraph" w:customStyle="1" w:styleId="50">
    <w:name w:val="韶关正文"/>
    <w:basedOn w:val="1"/>
    <w:autoRedefine/>
    <w:qFormat/>
    <w:uiPriority w:val="0"/>
    <w:pPr>
      <w:spacing w:line="360" w:lineRule="auto"/>
      <w:ind w:firstLine="420" w:firstLineChars="200"/>
    </w:pPr>
    <w:rPr>
      <w:rFonts w:ascii="Times New Roman" w:hAnsi="Times New Roman" w:eastAsia="宋体" w:cs="Times New Roman"/>
      <w:sz w:val="24"/>
      <w:szCs w:val="20"/>
    </w:rPr>
  </w:style>
  <w:style w:type="character" w:customStyle="1" w:styleId="51">
    <w:name w:val="标题 4 Char"/>
    <w:basedOn w:val="33"/>
    <w:link w:val="8"/>
    <w:autoRedefine/>
    <w:qFormat/>
    <w:uiPriority w:val="0"/>
    <w:rPr>
      <w:rFonts w:ascii="新宋体" w:hAnsi="新宋体" w:eastAsia="新宋体" w:cs="Times New Roman"/>
      <w:b/>
      <w:bCs/>
      <w:color w:val="00B050"/>
      <w:sz w:val="24"/>
      <w:szCs w:val="28"/>
    </w:rPr>
  </w:style>
  <w:style w:type="character" w:customStyle="1" w:styleId="52">
    <w:name w:val="标题 5 Char"/>
    <w:basedOn w:val="33"/>
    <w:link w:val="9"/>
    <w:autoRedefine/>
    <w:qFormat/>
    <w:uiPriority w:val="0"/>
    <w:rPr>
      <w:rFonts w:ascii="新宋体" w:hAnsi="新宋体" w:eastAsia="新宋体" w:cs="Times New Roman"/>
      <w:b/>
      <w:bCs/>
      <w:color w:val="0070C0"/>
      <w:sz w:val="24"/>
      <w:szCs w:val="28"/>
    </w:rPr>
  </w:style>
  <w:style w:type="paragraph" w:customStyle="1" w:styleId="53">
    <w:name w:val="段落 Char"/>
    <w:basedOn w:val="1"/>
    <w:autoRedefine/>
    <w:qFormat/>
    <w:uiPriority w:val="0"/>
    <w:pPr>
      <w:topLinePunct/>
      <w:snapToGrid w:val="0"/>
      <w:spacing w:line="360" w:lineRule="auto"/>
      <w:ind w:firstLine="200" w:firstLineChars="200"/>
    </w:pPr>
    <w:rPr>
      <w:rFonts w:ascii="Times New Roman" w:hAnsi="Times New Roman" w:eastAsia="宋体" w:cs="Times New Roman"/>
      <w:sz w:val="24"/>
      <w:szCs w:val="24"/>
    </w:rPr>
  </w:style>
  <w:style w:type="paragraph" w:customStyle="1" w:styleId="54">
    <w:name w:val="样式 段落 Char +"/>
    <w:basedOn w:val="53"/>
    <w:autoRedefine/>
    <w:qFormat/>
    <w:uiPriority w:val="0"/>
    <w:rPr>
      <w:kern w:val="0"/>
    </w:rPr>
  </w:style>
  <w:style w:type="character" w:customStyle="1" w:styleId="55">
    <w:name w:val="样式 首行缩进 Char Char"/>
    <w:basedOn w:val="33"/>
    <w:link w:val="56"/>
    <w:autoRedefine/>
    <w:qFormat/>
    <w:uiPriority w:val="0"/>
    <w:rPr>
      <w:rFonts w:ascii="仿宋_GB2312" w:eastAsia="仿宋_GB2312" w:cs="宋体"/>
      <w:sz w:val="28"/>
    </w:rPr>
  </w:style>
  <w:style w:type="paragraph" w:customStyle="1" w:styleId="56">
    <w:name w:val="样式 首行缩进"/>
    <w:basedOn w:val="1"/>
    <w:link w:val="55"/>
    <w:autoRedefine/>
    <w:qFormat/>
    <w:uiPriority w:val="0"/>
    <w:pPr>
      <w:ind w:firstLine="551"/>
    </w:pPr>
    <w:rPr>
      <w:rFonts w:ascii="仿宋_GB2312" w:eastAsia="仿宋_GB2312" w:cs="宋体"/>
      <w:sz w:val="28"/>
    </w:rPr>
  </w:style>
  <w:style w:type="paragraph" w:customStyle="1" w:styleId="57">
    <w:name w:val="xl124"/>
    <w:basedOn w:val="1"/>
    <w:autoRedefine/>
    <w:qFormat/>
    <w:uiPriority w:val="0"/>
    <w:pPr>
      <w:widowControl/>
      <w:pBdr>
        <w:left w:val="single" w:color="auto" w:sz="8" w:space="0"/>
        <w:right w:val="single" w:color="auto" w:sz="8" w:space="0"/>
      </w:pBdr>
      <w:spacing w:before="100" w:beforeAutospacing="1" w:after="100" w:afterAutospacing="1"/>
      <w:jc w:val="center"/>
      <w:textAlignment w:val="center"/>
    </w:pPr>
    <w:rPr>
      <w:rFonts w:ascii="Times New Roman" w:hAnsi="Times New Roman" w:eastAsia="宋体" w:cs="Times New Roman"/>
      <w:kern w:val="0"/>
      <w:sz w:val="24"/>
      <w:szCs w:val="24"/>
    </w:rPr>
  </w:style>
  <w:style w:type="character" w:customStyle="1" w:styleId="58">
    <w:name w:val="纯文本 Char1"/>
    <w:basedOn w:val="33"/>
    <w:autoRedefine/>
    <w:qFormat/>
    <w:uiPriority w:val="0"/>
    <w:rPr>
      <w:rFonts w:ascii="宋体" w:hAnsi="Courier New" w:eastAsia="宋体" w:cs="Wingdings"/>
      <w:szCs w:val="21"/>
    </w:rPr>
  </w:style>
  <w:style w:type="character" w:customStyle="1" w:styleId="59">
    <w:name w:val="纯文本 Char"/>
    <w:basedOn w:val="33"/>
    <w:link w:val="16"/>
    <w:autoRedefine/>
    <w:qFormat/>
    <w:uiPriority w:val="0"/>
    <w:rPr>
      <w:rFonts w:ascii="宋体" w:hAnsi="Courier New" w:eastAsia="宋体" w:cs="Courier New"/>
      <w:szCs w:val="21"/>
    </w:rPr>
  </w:style>
  <w:style w:type="paragraph" w:customStyle="1" w:styleId="60">
    <w:name w:val="font6"/>
    <w:basedOn w:val="1"/>
    <w:autoRedefine/>
    <w:qFormat/>
    <w:uiPriority w:val="0"/>
    <w:pPr>
      <w:widowControl/>
      <w:spacing w:before="100" w:beforeAutospacing="1" w:after="100" w:afterAutospacing="1"/>
      <w:jc w:val="left"/>
    </w:pPr>
    <w:rPr>
      <w:rFonts w:ascii="Times New Roman" w:hAnsi="Times New Roman" w:eastAsia="Arial Unicode MS" w:cs="Times New Roman"/>
      <w:kern w:val="0"/>
      <w:sz w:val="24"/>
      <w:szCs w:val="24"/>
    </w:rPr>
  </w:style>
  <w:style w:type="paragraph" w:customStyle="1" w:styleId="61">
    <w:name w:val="表格"/>
    <w:link w:val="62"/>
    <w:autoRedefine/>
    <w:qFormat/>
    <w:uiPriority w:val="0"/>
    <w:pPr>
      <w:widowControl w:val="0"/>
      <w:adjustRightInd w:val="0"/>
      <w:snapToGrid w:val="0"/>
      <w:jc w:val="center"/>
    </w:pPr>
    <w:rPr>
      <w:rFonts w:ascii="宋体" w:hAnsi="Times New Roman" w:eastAsia="宋体" w:cs="Times New Roman"/>
      <w:sz w:val="18"/>
      <w:lang w:val="en-US" w:eastAsia="zh-CN" w:bidi="ar-SA"/>
    </w:rPr>
  </w:style>
  <w:style w:type="character" w:customStyle="1" w:styleId="62">
    <w:name w:val="表格 Char"/>
    <w:link w:val="61"/>
    <w:autoRedefine/>
    <w:qFormat/>
    <w:uiPriority w:val="0"/>
    <w:rPr>
      <w:rFonts w:ascii="宋体" w:hAnsi="Times New Roman" w:eastAsia="宋体" w:cs="Times New Roman"/>
      <w:kern w:val="0"/>
      <w:sz w:val="18"/>
      <w:szCs w:val="20"/>
    </w:rPr>
  </w:style>
  <w:style w:type="paragraph" w:customStyle="1" w:styleId="63">
    <w:name w:val="表题"/>
    <w:basedOn w:val="1"/>
    <w:link w:val="64"/>
    <w:autoRedefine/>
    <w:qFormat/>
    <w:uiPriority w:val="0"/>
    <w:pPr>
      <w:spacing w:line="360" w:lineRule="auto"/>
      <w:jc w:val="center"/>
    </w:pPr>
    <w:rPr>
      <w:rFonts w:ascii="宋体" w:hAnsi="宋体" w:eastAsia="宋体" w:cs="Times New Roman"/>
      <w:b/>
      <w:sz w:val="24"/>
      <w:szCs w:val="20"/>
    </w:rPr>
  </w:style>
  <w:style w:type="character" w:customStyle="1" w:styleId="64">
    <w:name w:val="表题 Char"/>
    <w:link w:val="63"/>
    <w:autoRedefine/>
    <w:qFormat/>
    <w:uiPriority w:val="0"/>
    <w:rPr>
      <w:rFonts w:ascii="宋体" w:hAnsi="宋体" w:eastAsia="宋体" w:cs="Times New Roman"/>
      <w:b/>
      <w:sz w:val="24"/>
      <w:szCs w:val="20"/>
    </w:rPr>
  </w:style>
  <w:style w:type="paragraph" w:styleId="65">
    <w:name w:val="List Paragraph"/>
    <w:basedOn w:val="1"/>
    <w:autoRedefine/>
    <w:qFormat/>
    <w:uiPriority w:val="34"/>
    <w:pPr>
      <w:ind w:firstLine="420" w:firstLineChars="200"/>
    </w:pPr>
  </w:style>
  <w:style w:type="paragraph" w:customStyle="1" w:styleId="66">
    <w:name w:val="表内容"/>
    <w:basedOn w:val="1"/>
    <w:autoRedefine/>
    <w:qFormat/>
    <w:uiPriority w:val="0"/>
    <w:pPr>
      <w:spacing w:line="480" w:lineRule="auto"/>
      <w:jc w:val="center"/>
    </w:pPr>
    <w:rPr>
      <w:rFonts w:ascii="Times New Roman" w:hAnsi="Times New Roman" w:eastAsia="宋体" w:cs="Times New Roman"/>
      <w:sz w:val="24"/>
      <w:szCs w:val="20"/>
    </w:rPr>
  </w:style>
  <w:style w:type="paragraph" w:customStyle="1" w:styleId="67">
    <w:name w:val="样式 正文段落 + 首行缩进:  2 字符"/>
    <w:basedOn w:val="1"/>
    <w:link w:val="68"/>
    <w:autoRedefine/>
    <w:qFormat/>
    <w:uiPriority w:val="0"/>
    <w:pPr>
      <w:widowControl/>
      <w:spacing w:line="360" w:lineRule="auto"/>
      <w:ind w:firstLine="480" w:firstLineChars="200"/>
      <w:jc w:val="left"/>
    </w:pPr>
    <w:rPr>
      <w:rFonts w:ascii="仿宋_GB2312" w:hAnsi="Times New Roman" w:eastAsia="仿宋_GB2312" w:cs="宋体"/>
      <w:sz w:val="24"/>
      <w:szCs w:val="24"/>
    </w:rPr>
  </w:style>
  <w:style w:type="character" w:customStyle="1" w:styleId="68">
    <w:name w:val="样式 正文段落 + 首行缩进:  2 字符 Char"/>
    <w:basedOn w:val="33"/>
    <w:link w:val="67"/>
    <w:autoRedefine/>
    <w:qFormat/>
    <w:uiPriority w:val="0"/>
    <w:rPr>
      <w:rFonts w:ascii="仿宋_GB2312" w:hAnsi="Times New Roman" w:eastAsia="仿宋_GB2312" w:cs="宋体"/>
      <w:sz w:val="24"/>
      <w:szCs w:val="24"/>
    </w:rPr>
  </w:style>
  <w:style w:type="character" w:customStyle="1" w:styleId="69">
    <w:name w:val="正文缩进 Char"/>
    <w:basedOn w:val="33"/>
    <w:link w:val="5"/>
    <w:autoRedefine/>
    <w:qFormat/>
    <w:uiPriority w:val="0"/>
  </w:style>
  <w:style w:type="paragraph" w:customStyle="1" w:styleId="70">
    <w:name w:val="表格文字"/>
    <w:basedOn w:val="1"/>
    <w:next w:val="1"/>
    <w:link w:val="71"/>
    <w:autoRedefine/>
    <w:qFormat/>
    <w:uiPriority w:val="0"/>
    <w:pPr>
      <w:snapToGrid w:val="0"/>
      <w:spacing w:line="240" w:lineRule="atLeast"/>
      <w:ind w:left="-10" w:firstLine="10"/>
      <w:jc w:val="center"/>
    </w:pPr>
    <w:rPr>
      <w:rFonts w:ascii="宋体" w:hAnsi="Times New Roman" w:eastAsia="仿宋_GB2312" w:cs="Times New Roman"/>
      <w:szCs w:val="20"/>
    </w:rPr>
  </w:style>
  <w:style w:type="character" w:customStyle="1" w:styleId="71">
    <w:name w:val="表格文字 Char"/>
    <w:basedOn w:val="33"/>
    <w:link w:val="70"/>
    <w:autoRedefine/>
    <w:qFormat/>
    <w:uiPriority w:val="0"/>
    <w:rPr>
      <w:rFonts w:ascii="宋体" w:hAnsi="Times New Roman" w:eastAsia="仿宋_GB2312" w:cs="Times New Roman"/>
      <w:szCs w:val="20"/>
    </w:rPr>
  </w:style>
  <w:style w:type="paragraph" w:customStyle="1" w:styleId="72">
    <w:name w:val="Char"/>
    <w:basedOn w:val="4"/>
    <w:next w:val="4"/>
    <w:autoRedefine/>
    <w:qFormat/>
    <w:uiPriority w:val="0"/>
    <w:pPr>
      <w:keepLines w:val="0"/>
      <w:widowControl/>
      <w:tabs>
        <w:tab w:val="left" w:pos="1080"/>
      </w:tabs>
      <w:spacing w:beforeLines="0" w:afterLines="0"/>
    </w:pPr>
    <w:rPr>
      <w:rFonts w:ascii="Tahoma" w:hAnsi="Tahoma" w:eastAsia="黑体"/>
      <w:color w:val="auto"/>
      <w:szCs w:val="28"/>
    </w:rPr>
  </w:style>
  <w:style w:type="paragraph" w:customStyle="1" w:styleId="73">
    <w:name w:val="Char Char Char Char Char Char Char Char Char Char Char Char Char Char Char Char Char Char Char Char Char"/>
    <w:basedOn w:val="1"/>
    <w:autoRedefine/>
    <w:qFormat/>
    <w:uiPriority w:val="0"/>
    <w:rPr>
      <w:rFonts w:ascii="Times New Roman" w:hAnsi="Times New Roman" w:eastAsia="宋体" w:cs="Times New Roman"/>
      <w:szCs w:val="24"/>
    </w:rPr>
  </w:style>
  <w:style w:type="paragraph" w:customStyle="1" w:styleId="74">
    <w:name w:val="+标题2"/>
    <w:basedOn w:val="6"/>
    <w:autoRedefine/>
    <w:qFormat/>
    <w:uiPriority w:val="0"/>
    <w:pPr>
      <w:keepLines w:val="0"/>
      <w:widowControl/>
      <w:tabs>
        <w:tab w:val="left" w:pos="360"/>
        <w:tab w:val="left" w:pos="630"/>
      </w:tabs>
      <w:spacing w:before="156" w:afterLines="50"/>
      <w:jc w:val="left"/>
    </w:pPr>
    <w:rPr>
      <w:rFonts w:ascii="Times New Roman" w:hAnsi="Times New Roman" w:eastAsia="宋体"/>
      <w:i/>
      <w:iCs/>
      <w:sz w:val="30"/>
    </w:rPr>
  </w:style>
  <w:style w:type="paragraph" w:customStyle="1" w:styleId="75">
    <w:name w:val="TOC 标题1"/>
    <w:basedOn w:val="4"/>
    <w:next w:val="1"/>
    <w:autoRedefine/>
    <w:semiHidden/>
    <w:unhideWhenUsed/>
    <w:qFormat/>
    <w:uiPriority w:val="39"/>
    <w:pPr>
      <w:widowControl/>
      <w:spacing w:beforeLines="0" w:afterLines="0" w:line="276" w:lineRule="auto"/>
      <w:outlineLvl w:val="9"/>
    </w:pPr>
    <w:rPr>
      <w:rFonts w:asciiTheme="majorHAnsi" w:hAnsiTheme="majorHAnsi" w:eastAsiaTheme="majorEastAsia" w:cstheme="majorBidi"/>
      <w:color w:val="376092" w:themeColor="accent1" w:themeShade="BF"/>
      <w:kern w:val="0"/>
      <w:sz w:val="28"/>
      <w:szCs w:val="28"/>
    </w:rPr>
  </w:style>
  <w:style w:type="paragraph" w:customStyle="1" w:styleId="76">
    <w:name w:val="正文1"/>
    <w:link w:val="77"/>
    <w:autoRedefine/>
    <w:qFormat/>
    <w:uiPriority w:val="0"/>
    <w:pPr>
      <w:widowControl w:val="0"/>
      <w:adjustRightInd w:val="0"/>
      <w:snapToGrid w:val="0"/>
      <w:spacing w:afterLines="50" w:line="300" w:lineRule="auto"/>
      <w:ind w:firstLine="200" w:firstLineChars="200"/>
      <w:jc w:val="both"/>
    </w:pPr>
    <w:rPr>
      <w:rFonts w:ascii="宋体" w:hAnsi="Times New Roman" w:eastAsia="宋体" w:cs="Times New Roman"/>
      <w:spacing w:val="10"/>
      <w:sz w:val="24"/>
      <w:lang w:val="en-US" w:eastAsia="zh-CN" w:bidi="ar-SA"/>
    </w:rPr>
  </w:style>
  <w:style w:type="character" w:customStyle="1" w:styleId="77">
    <w:name w:val="正文1 Char"/>
    <w:link w:val="76"/>
    <w:autoRedefine/>
    <w:qFormat/>
    <w:uiPriority w:val="0"/>
    <w:rPr>
      <w:rFonts w:ascii="宋体" w:hAnsi="Times New Roman" w:eastAsia="宋体" w:cs="Times New Roman"/>
      <w:spacing w:val="10"/>
      <w:kern w:val="0"/>
      <w:sz w:val="24"/>
      <w:szCs w:val="20"/>
    </w:rPr>
  </w:style>
  <w:style w:type="character" w:customStyle="1" w:styleId="78">
    <w:name w:val="日期 Char"/>
    <w:basedOn w:val="33"/>
    <w:link w:val="18"/>
    <w:autoRedefine/>
    <w:semiHidden/>
    <w:qFormat/>
    <w:uiPriority w:val="99"/>
  </w:style>
  <w:style w:type="paragraph" w:customStyle="1" w:styleId="79">
    <w:name w:val="标题小4"/>
    <w:basedOn w:val="1"/>
    <w:next w:val="1"/>
    <w:autoRedefine/>
    <w:qFormat/>
    <w:uiPriority w:val="0"/>
    <w:pPr>
      <w:spacing w:line="360" w:lineRule="auto"/>
      <w:ind w:firstLine="147" w:firstLineChars="147"/>
      <w:jc w:val="left"/>
    </w:pPr>
    <w:rPr>
      <w:rFonts w:ascii="Times New Roman" w:hAnsi="Times New Roman" w:eastAsia="宋体" w:cs="Times New Roman"/>
      <w:b/>
      <w:sz w:val="24"/>
      <w:szCs w:val="24"/>
    </w:rPr>
  </w:style>
  <w:style w:type="paragraph" w:customStyle="1" w:styleId="80">
    <w:name w:val="汇报材料正文1.3"/>
    <w:basedOn w:val="1"/>
    <w:autoRedefine/>
    <w:qFormat/>
    <w:uiPriority w:val="0"/>
    <w:pPr>
      <w:autoSpaceDE w:val="0"/>
      <w:autoSpaceDN w:val="0"/>
      <w:adjustRightInd w:val="0"/>
      <w:snapToGrid w:val="0"/>
      <w:spacing w:beforeLines="20" w:after="60" w:line="312" w:lineRule="auto"/>
      <w:ind w:right="-159" w:firstLine="544" w:firstLineChars="250"/>
      <w:jc w:val="left"/>
    </w:pPr>
    <w:rPr>
      <w:rFonts w:ascii="宋体" w:hAnsi="宋体" w:eastAsia="宋体" w:cs="Times New Roman"/>
      <w:bCs/>
      <w:snapToGrid w:val="0"/>
      <w:color w:val="000000"/>
      <w:spacing w:val="16"/>
      <w:kern w:val="24"/>
      <w:sz w:val="24"/>
      <w:szCs w:val="24"/>
    </w:rPr>
  </w:style>
  <w:style w:type="character" w:customStyle="1" w:styleId="81">
    <w:name w:val="正文文本缩进 2 Char"/>
    <w:basedOn w:val="33"/>
    <w:link w:val="19"/>
    <w:autoRedefine/>
    <w:semiHidden/>
    <w:qFormat/>
    <w:uiPriority w:val="99"/>
  </w:style>
  <w:style w:type="paragraph" w:customStyle="1" w:styleId="82">
    <w:name w:val="正文的格式1.5倍行距"/>
    <w:basedOn w:val="1"/>
    <w:autoRedefine/>
    <w:qFormat/>
    <w:uiPriority w:val="0"/>
    <w:pPr>
      <w:spacing w:line="360" w:lineRule="auto"/>
      <w:ind w:firstLine="200" w:firstLineChars="200"/>
    </w:pPr>
    <w:rPr>
      <w:rFonts w:eastAsia="宋体"/>
      <w:sz w:val="28"/>
    </w:rPr>
  </w:style>
  <w:style w:type="paragraph" w:customStyle="1" w:styleId="83">
    <w:name w:val="Char Char Char Char Char Char2 Char"/>
    <w:basedOn w:val="1"/>
    <w:autoRedefine/>
    <w:qFormat/>
    <w:uiPriority w:val="0"/>
    <w:pPr>
      <w:spacing w:line="360" w:lineRule="auto"/>
      <w:ind w:firstLine="200" w:firstLineChars="200"/>
    </w:pPr>
    <w:rPr>
      <w:rFonts w:ascii="宋体" w:hAnsi="宋体" w:cs="宋体"/>
      <w:sz w:val="24"/>
    </w:rPr>
  </w:style>
  <w:style w:type="paragraph" w:customStyle="1" w:styleId="84">
    <w:name w:val="Char Char Char Char Char Char2 Char1"/>
    <w:basedOn w:val="1"/>
    <w:autoRedefine/>
    <w:qFormat/>
    <w:uiPriority w:val="0"/>
    <w:pPr>
      <w:spacing w:line="360" w:lineRule="auto"/>
      <w:ind w:firstLine="200" w:firstLineChars="200"/>
    </w:pPr>
    <w:rPr>
      <w:rFonts w:ascii="宋体" w:hAnsi="宋体" w:eastAsia="宋体" w:cs="宋体"/>
      <w:sz w:val="24"/>
      <w:szCs w:val="24"/>
    </w:rPr>
  </w:style>
  <w:style w:type="paragraph" w:customStyle="1" w:styleId="85">
    <w:name w:val="正文（微软雅黑）"/>
    <w:basedOn w:val="1"/>
    <w:autoRedefine/>
    <w:qFormat/>
    <w:uiPriority w:val="0"/>
    <w:pPr>
      <w:autoSpaceDE w:val="0"/>
      <w:autoSpaceDN w:val="0"/>
      <w:adjustRightInd w:val="0"/>
      <w:spacing w:line="480" w:lineRule="exact"/>
      <w:ind w:firstLine="561"/>
    </w:pPr>
    <w:rPr>
      <w:rFonts w:ascii="方正准圆简体2." w:hAnsi="Calibri" w:eastAsia="微软雅黑" w:cs="Times New Roman"/>
      <w:kern w:val="0"/>
      <w:sz w:val="22"/>
    </w:rPr>
  </w:style>
  <w:style w:type="paragraph" w:customStyle="1" w:styleId="86">
    <w:name w:val="Default"/>
    <w:autoRedefine/>
    <w:unhideWhenUsed/>
    <w:qFormat/>
    <w:uiPriority w:val="99"/>
    <w:pPr>
      <w:widowControl w:val="0"/>
      <w:autoSpaceDE w:val="0"/>
      <w:autoSpaceDN w:val="0"/>
      <w:adjustRightInd w:val="0"/>
    </w:pPr>
    <w:rPr>
      <w:rFonts w:ascii="宋体" w:hAnsi="宋体" w:eastAsia="宋体" w:cs="Times New Roman"/>
      <w:color w:val="000000"/>
      <w:sz w:val="24"/>
      <w:lang w:val="en-US" w:eastAsia="zh-CN" w:bidi="ar-SA"/>
    </w:rPr>
  </w:style>
  <w:style w:type="paragraph" w:customStyle="1" w:styleId="87">
    <w:name w:val="注释"/>
    <w:basedOn w:val="1"/>
    <w:autoRedefine/>
    <w:qFormat/>
    <w:uiPriority w:val="0"/>
    <w:pPr>
      <w:spacing w:line="360" w:lineRule="auto"/>
    </w:pPr>
    <w:rPr>
      <w:rFonts w:ascii="Times New Roman" w:hAnsi="Times New Roman" w:eastAsia="宋体" w:cs="Times New Roman"/>
      <w:sz w:val="24"/>
      <w:szCs w:val="24"/>
    </w:rPr>
  </w:style>
  <w:style w:type="paragraph" w:customStyle="1" w:styleId="88">
    <w:name w:val="正文文本（新）"/>
    <w:basedOn w:val="1"/>
    <w:autoRedefine/>
    <w:qFormat/>
    <w:uiPriority w:val="0"/>
    <w:pPr>
      <w:spacing w:line="360" w:lineRule="auto"/>
      <w:ind w:firstLine="200" w:firstLineChars="200"/>
    </w:pPr>
    <w:rPr>
      <w:rFonts w:ascii="Times New Roman" w:hAnsi="Times New Roman" w:eastAsia="宋体" w:cs="Times New Roman"/>
      <w:sz w:val="28"/>
      <w:szCs w:val="28"/>
    </w:rPr>
  </w:style>
  <w:style w:type="character" w:customStyle="1" w:styleId="89">
    <w:name w:val="正文 Char"/>
    <w:autoRedefine/>
    <w:qFormat/>
    <w:uiPriority w:val="0"/>
    <w:rPr>
      <w:kern w:val="2"/>
      <w:sz w:val="24"/>
    </w:rPr>
  </w:style>
  <w:style w:type="paragraph" w:customStyle="1" w:styleId="90">
    <w:name w:val="表格字体"/>
    <w:basedOn w:val="1"/>
    <w:next w:val="1"/>
    <w:autoRedefine/>
    <w:qFormat/>
    <w:uiPriority w:val="0"/>
    <w:pPr>
      <w:jc w:val="center"/>
      <w:textAlignment w:val="center"/>
    </w:pPr>
    <w:rPr>
      <w:rFonts w:ascii="Times New Roman" w:hAnsi="Times New Roman" w:eastAsia="宋体" w:cs="Times New Roman"/>
      <w:sz w:val="24"/>
      <w:szCs w:val="21"/>
    </w:rPr>
  </w:style>
  <w:style w:type="paragraph" w:customStyle="1" w:styleId="91">
    <w:name w:val="8表格"/>
    <w:basedOn w:val="1"/>
    <w:autoRedefine/>
    <w:qFormat/>
    <w:uiPriority w:val="0"/>
    <w:pPr>
      <w:autoSpaceDE w:val="0"/>
      <w:autoSpaceDN w:val="0"/>
      <w:spacing w:line="360" w:lineRule="auto"/>
      <w:jc w:val="center"/>
    </w:pPr>
    <w:rPr>
      <w:rFonts w:ascii="宋体" w:hAnsi="Times New Roman" w:eastAsia="宋体" w:cs="Times New Roman"/>
      <w:color w:val="000000"/>
      <w:sz w:val="18"/>
      <w:szCs w:val="20"/>
    </w:rPr>
  </w:style>
  <w:style w:type="paragraph" w:customStyle="1" w:styleId="92">
    <w:name w:val="1无退缩表格"/>
    <w:basedOn w:val="1"/>
    <w:autoRedefine/>
    <w:qFormat/>
    <w:uiPriority w:val="0"/>
    <w:pPr>
      <w:ind w:firstLine="0" w:firstLineChars="0"/>
    </w:pPr>
    <w:rPr>
      <w:rFonts w:ascii="Times New Roman" w:hAnsi="Times New Roman"/>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theme" Target="theme/theme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oleObject" Target="embeddings/oleObject4.bin"/><Relationship Id="rId23" Type="http://schemas.openxmlformats.org/officeDocument/2006/relationships/oleObject" Target="embeddings/oleObject3.bin"/><Relationship Id="rId22" Type="http://schemas.openxmlformats.org/officeDocument/2006/relationships/oleObject" Target="embeddings/oleObject2.bin"/><Relationship Id="rId21" Type="http://schemas.openxmlformats.org/officeDocument/2006/relationships/image" Target="media/image17.w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10</Pages>
  <Words>15020</Words>
  <Characters>16901</Characters>
  <Lines>109</Lines>
  <Paragraphs>30</Paragraphs>
  <TotalTime>6</TotalTime>
  <ScaleCrop>false</ScaleCrop>
  <LinksUpToDate>false</LinksUpToDate>
  <CharactersWithSpaces>17081</CharactersWithSpaces>
  <Application>WPS Office_12.1.0.18888_F1E327BC-269C-435d-A152-05C5408002CA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2017-05-18T09:09:00Z</dcterms:created>
  <dc:creator>JAYFA</dc:creator>
  <cp:lastModifiedBy>业</cp:lastModifiedBy>
  <cp:lastPrinted>2023-05-06T03:23:00Z</cp:lastPrinted>
  <dcterms:modified xsi:type="dcterms:W3CDTF">2024-11-01T08:13:41Z</dcterms:modified>
  <cp:revision>102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2052-12.1.0.18888</vt:lpwstr>
  </property>
  <property fmtid="{D5CDD505-2E9C-101B-9397-08002B2CF9AE}" pid="3" name="ICV">
    <vt:lpwstr>3E4D94CA71F740CDA7717C6607F31F50_13</vt:lpwstr>
  </property>
</Properties>
</file>